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7A" w:rsidRDefault="00897CBB" w:rsidP="00897CBB">
      <w:pPr>
        <w:pStyle w:val="Title"/>
        <w:jc w:val="center"/>
      </w:pPr>
      <w:r>
        <w:t xml:space="preserve">FAC-P/PM Functional Experience Transcript for Level </w:t>
      </w:r>
      <w:r w:rsidR="00D4350A">
        <w:t>I</w:t>
      </w:r>
    </w:p>
    <w:p w:rsidR="00897CBB" w:rsidRPr="00897CBB" w:rsidRDefault="00897CBB" w:rsidP="00897CBB">
      <w:pPr>
        <w:jc w:val="center"/>
        <w:rPr>
          <w:b/>
          <w:sz w:val="28"/>
        </w:rPr>
      </w:pPr>
      <w:r w:rsidRPr="00897CBB">
        <w:rPr>
          <w:b/>
          <w:sz w:val="28"/>
        </w:rPr>
        <w:t>APPLICANT IDENTIFICATION</w:t>
      </w:r>
    </w:p>
    <w:p w:rsidR="00897CBB" w:rsidRDefault="00897CBB" w:rsidP="00897CBB">
      <w:pPr>
        <w:spacing w:before="480"/>
      </w:pPr>
      <w:r>
        <w:t xml:space="preserve">Enter the </w:t>
      </w:r>
      <w:r w:rsidRPr="00897CBB">
        <w:rPr>
          <w:b/>
        </w:rPr>
        <w:t>required</w:t>
      </w:r>
      <w:r>
        <w:t xml:space="preserve"> following information:</w:t>
      </w:r>
    </w:p>
    <w:p w:rsidR="00897CBB" w:rsidRDefault="00D4350A" w:rsidP="00D4350A">
      <w:pPr>
        <w:spacing w:before="120"/>
        <w:ind w:left="720"/>
      </w:pPr>
      <w:r>
        <w:t>Name (Last, First, MI):</w:t>
      </w:r>
      <w:r>
        <w:tab/>
      </w:r>
      <w:sdt>
        <w:sdtPr>
          <w:id w:val="1784157688"/>
          <w:placeholder>
            <w:docPart w:val="DefaultPlaceholder_1081868574"/>
          </w:placeholder>
          <w:showingPlcHdr/>
        </w:sdtPr>
        <w:sdtEndPr/>
        <w:sdtContent>
          <w:r w:rsidRPr="00D4350A">
            <w:rPr>
              <w:rStyle w:val="PlaceholderText"/>
              <w:u w:val="single"/>
            </w:rPr>
            <w:t>Click here to enter text.</w:t>
          </w:r>
        </w:sdtContent>
      </w:sdt>
    </w:p>
    <w:p w:rsidR="00D4350A" w:rsidRDefault="00D4350A" w:rsidP="00D4350A">
      <w:pPr>
        <w:spacing w:before="120"/>
        <w:ind w:left="720"/>
      </w:pPr>
      <w:r>
        <w:t>Organization Name:</w:t>
      </w:r>
      <w:r>
        <w:tab/>
      </w:r>
      <w:r>
        <w:tab/>
      </w:r>
      <w:sdt>
        <w:sdtPr>
          <w:id w:val="2132202002"/>
          <w:placeholder>
            <w:docPart w:val="DefaultPlaceholder_1081868574"/>
          </w:placeholder>
          <w:showingPlcHdr/>
        </w:sdtPr>
        <w:sdtEndPr/>
        <w:sdtContent>
          <w:r w:rsidRPr="00D4350A">
            <w:rPr>
              <w:rStyle w:val="PlaceholderText"/>
              <w:u w:val="single"/>
            </w:rPr>
            <w:t>Click here to enter text.</w:t>
          </w:r>
        </w:sdtContent>
      </w:sdt>
    </w:p>
    <w:p w:rsidR="00D4350A" w:rsidRDefault="00D4350A" w:rsidP="00D4350A">
      <w:pPr>
        <w:spacing w:before="120"/>
        <w:ind w:left="720"/>
      </w:pPr>
      <w:r>
        <w:t>Organization Address:</w:t>
      </w:r>
      <w:r>
        <w:tab/>
      </w:r>
      <w:sdt>
        <w:sdtPr>
          <w:id w:val="82347009"/>
          <w:placeholder>
            <w:docPart w:val="DefaultPlaceholder_1081868574"/>
          </w:placeholder>
          <w:showingPlcHdr/>
        </w:sdtPr>
        <w:sdtEndPr/>
        <w:sdtContent>
          <w:r w:rsidRPr="00D4350A">
            <w:rPr>
              <w:rStyle w:val="PlaceholderText"/>
              <w:u w:val="single"/>
            </w:rPr>
            <w:t>Click here to enter text.</w:t>
          </w:r>
        </w:sdtContent>
      </w:sdt>
    </w:p>
    <w:p w:rsidR="00D4350A" w:rsidRPr="007E3225" w:rsidRDefault="00D4350A" w:rsidP="007E3225">
      <w:pPr>
        <w:spacing w:before="240"/>
        <w:rPr>
          <w:rStyle w:val="Strong"/>
        </w:rPr>
      </w:pPr>
      <w:r w:rsidRPr="007E3225">
        <w:rPr>
          <w:rStyle w:val="Strong"/>
        </w:rPr>
        <w:t>What type(s) of contract(s) / project(s) are you managing?</w:t>
      </w:r>
    </w:p>
    <w:p w:rsidR="00D4350A" w:rsidRDefault="00E02807" w:rsidP="00D4350A">
      <w:pPr>
        <w:spacing w:after="0"/>
      </w:pPr>
      <w:sdt>
        <w:sdtPr>
          <w:id w:val="-1394351085"/>
          <w14:checkbox>
            <w14:checked w14:val="0"/>
            <w14:checkedState w14:val="2612" w14:font="MS Gothic"/>
            <w14:uncheckedState w14:val="2610" w14:font="MS Gothic"/>
          </w14:checkbox>
        </w:sdtPr>
        <w:sdtEndPr/>
        <w:sdtContent>
          <w:r w:rsidR="00D4350A">
            <w:rPr>
              <w:rFonts w:ascii="MS Gothic" w:eastAsia="MS Gothic" w:hAnsi="MS Gothic" w:hint="eastAsia"/>
            </w:rPr>
            <w:t>☐</w:t>
          </w:r>
        </w:sdtContent>
      </w:sdt>
      <w:r w:rsidR="00D4350A">
        <w:t xml:space="preserve"> Information Technology</w:t>
      </w:r>
    </w:p>
    <w:p w:rsidR="00D4350A" w:rsidRDefault="00E02807" w:rsidP="00D4350A">
      <w:pPr>
        <w:spacing w:after="0"/>
      </w:pPr>
      <w:sdt>
        <w:sdtPr>
          <w:id w:val="520126475"/>
          <w14:checkbox>
            <w14:checked w14:val="0"/>
            <w14:checkedState w14:val="2612" w14:font="MS Gothic"/>
            <w14:uncheckedState w14:val="2610" w14:font="MS Gothic"/>
          </w14:checkbox>
        </w:sdtPr>
        <w:sdtEndPr/>
        <w:sdtContent>
          <w:r w:rsidR="00D4350A">
            <w:rPr>
              <w:rFonts w:ascii="MS Gothic" w:eastAsia="MS Gothic" w:hAnsi="MS Gothic" w:hint="eastAsia"/>
            </w:rPr>
            <w:t>☐</w:t>
          </w:r>
        </w:sdtContent>
      </w:sdt>
      <w:r w:rsidR="00D4350A">
        <w:t xml:space="preserve"> Construction</w:t>
      </w:r>
    </w:p>
    <w:p w:rsidR="00D4350A" w:rsidRDefault="00E02807" w:rsidP="00D4350A">
      <w:pPr>
        <w:spacing w:after="0"/>
      </w:pPr>
      <w:sdt>
        <w:sdtPr>
          <w:id w:val="-1963099231"/>
          <w14:checkbox>
            <w14:checked w14:val="0"/>
            <w14:checkedState w14:val="2612" w14:font="MS Gothic"/>
            <w14:uncheckedState w14:val="2610" w14:font="MS Gothic"/>
          </w14:checkbox>
        </w:sdtPr>
        <w:sdtEndPr/>
        <w:sdtContent>
          <w:r w:rsidR="00D4350A">
            <w:rPr>
              <w:rFonts w:ascii="MS Gothic" w:eastAsia="MS Gothic" w:hAnsi="MS Gothic" w:hint="eastAsia"/>
            </w:rPr>
            <w:t>☐</w:t>
          </w:r>
        </w:sdtContent>
      </w:sdt>
      <w:r w:rsidR="00D4350A">
        <w:t xml:space="preserve"> Advanced Research and Development</w:t>
      </w:r>
    </w:p>
    <w:p w:rsidR="00D4350A" w:rsidRDefault="00E02807" w:rsidP="00D4350A">
      <w:pPr>
        <w:spacing w:after="360"/>
      </w:pPr>
      <w:sdt>
        <w:sdtPr>
          <w:id w:val="722640635"/>
          <w14:checkbox>
            <w14:checked w14:val="0"/>
            <w14:checkedState w14:val="2612" w14:font="MS Gothic"/>
            <w14:uncheckedState w14:val="2610" w14:font="MS Gothic"/>
          </w14:checkbox>
        </w:sdtPr>
        <w:sdtEndPr/>
        <w:sdtContent>
          <w:r w:rsidR="00A53D3C">
            <w:rPr>
              <w:rFonts w:ascii="MS Gothic" w:eastAsia="MS Gothic" w:hAnsi="MS Gothic" w:hint="eastAsia"/>
            </w:rPr>
            <w:t>☐</w:t>
          </w:r>
        </w:sdtContent>
      </w:sdt>
      <w:r w:rsidR="00D4350A">
        <w:t xml:space="preserve"> Other (please specify): </w:t>
      </w:r>
      <w:sdt>
        <w:sdtPr>
          <w:id w:val="1604996308"/>
          <w:placeholder>
            <w:docPart w:val="DefaultPlaceholder_1081868574"/>
          </w:placeholder>
          <w:showingPlcHdr/>
        </w:sdtPr>
        <w:sdtEndPr/>
        <w:sdtContent>
          <w:r w:rsidR="00D4350A" w:rsidRPr="00D4350A">
            <w:rPr>
              <w:rStyle w:val="PlaceholderText"/>
              <w:u w:val="single"/>
            </w:rPr>
            <w:t>Click here to enter text.</w:t>
          </w:r>
        </w:sdtContent>
      </w:sdt>
    </w:p>
    <w:p w:rsidR="00D4350A" w:rsidRPr="00D4350A" w:rsidRDefault="00A53D3C" w:rsidP="00D4350A">
      <w:pPr>
        <w:spacing w:after="360"/>
        <w:rPr>
          <w:rStyle w:val="Strong"/>
        </w:rPr>
      </w:pPr>
      <w:r>
        <w:rPr>
          <w:rStyle w:val="Strong"/>
        </w:rPr>
        <w:t>**</w:t>
      </w:r>
      <w:r w:rsidR="00D4350A" w:rsidRPr="00D4350A">
        <w:rPr>
          <w:rStyle w:val="Strong"/>
        </w:rPr>
        <w:t xml:space="preserve">FAC-P/PM </w:t>
      </w:r>
      <w:r w:rsidR="00B1368C">
        <w:rPr>
          <w:rStyle w:val="Strong"/>
        </w:rPr>
        <w:t>Level I</w:t>
      </w:r>
      <w:r w:rsidR="00D4350A" w:rsidRPr="00D4350A">
        <w:rPr>
          <w:rStyle w:val="Strong"/>
        </w:rPr>
        <w:t xml:space="preserve"> Certification requires as least </w:t>
      </w:r>
      <w:r w:rsidR="00B1368C">
        <w:rPr>
          <w:rStyle w:val="Strong"/>
        </w:rPr>
        <w:t>one</w:t>
      </w:r>
      <w:r w:rsidR="00D4350A" w:rsidRPr="00D4350A">
        <w:rPr>
          <w:rStyle w:val="Strong"/>
        </w:rPr>
        <w:t xml:space="preserve"> year</w:t>
      </w:r>
      <w:r w:rsidR="00674C6D">
        <w:rPr>
          <w:rStyle w:val="Strong"/>
        </w:rPr>
        <w:t>GRmosley33%</w:t>
      </w:r>
      <w:r w:rsidR="00D4350A" w:rsidRPr="00D4350A">
        <w:rPr>
          <w:rStyle w:val="Strong"/>
        </w:rPr>
        <w:t xml:space="preserve"> of program or project management experience within the last five years</w:t>
      </w:r>
      <w:r>
        <w:rPr>
          <w:rStyle w:val="Strong"/>
        </w:rPr>
        <w:t>**</w:t>
      </w:r>
      <w:r w:rsidR="00D4350A" w:rsidRPr="00D4350A">
        <w:rPr>
          <w:rStyle w:val="Strong"/>
        </w:rPr>
        <w:t xml:space="preserve"> </w:t>
      </w:r>
    </w:p>
    <w:p w:rsidR="00D4350A" w:rsidRDefault="00D4350A" w:rsidP="00A53D3C">
      <w:pPr>
        <w:pStyle w:val="Heading1"/>
      </w:pPr>
      <w:r>
        <w:t xml:space="preserve">FAC-P/PM </w:t>
      </w:r>
      <w:r w:rsidR="00A53D3C">
        <w:t>Competencies</w:t>
      </w:r>
      <w:r>
        <w:t>:</w:t>
      </w:r>
    </w:p>
    <w:p w:rsidR="00D4350A" w:rsidRDefault="00A53D3C" w:rsidP="00A53D3C">
      <w:pPr>
        <w:pStyle w:val="ListParagraph"/>
        <w:numPr>
          <w:ilvl w:val="0"/>
          <w:numId w:val="1"/>
        </w:numPr>
        <w:spacing w:after="0"/>
      </w:pPr>
      <w:r>
        <w:t>Requirements Development and Management Processes</w:t>
      </w:r>
    </w:p>
    <w:p w:rsidR="00A53D3C" w:rsidRDefault="00A53D3C" w:rsidP="00A53D3C">
      <w:pPr>
        <w:pStyle w:val="ListParagraph"/>
        <w:numPr>
          <w:ilvl w:val="0"/>
          <w:numId w:val="1"/>
        </w:numPr>
        <w:spacing w:after="0"/>
      </w:pPr>
      <w:r>
        <w:t>Systems Engineering</w:t>
      </w:r>
    </w:p>
    <w:p w:rsidR="00A53D3C" w:rsidRDefault="00A53D3C" w:rsidP="00A53D3C">
      <w:pPr>
        <w:pStyle w:val="ListParagraph"/>
        <w:numPr>
          <w:ilvl w:val="0"/>
          <w:numId w:val="1"/>
        </w:numPr>
        <w:spacing w:after="0"/>
      </w:pPr>
      <w:r>
        <w:t>Test and Evaluation</w:t>
      </w:r>
    </w:p>
    <w:p w:rsidR="00A53D3C" w:rsidRDefault="00A53D3C" w:rsidP="00A53D3C">
      <w:pPr>
        <w:pStyle w:val="ListParagraph"/>
        <w:numPr>
          <w:ilvl w:val="0"/>
          <w:numId w:val="1"/>
        </w:numPr>
        <w:spacing w:after="0"/>
      </w:pPr>
      <w:r>
        <w:t>Life Cycle Logistics</w:t>
      </w:r>
    </w:p>
    <w:p w:rsidR="00A53D3C" w:rsidRDefault="00A53D3C" w:rsidP="00A53D3C">
      <w:pPr>
        <w:pStyle w:val="ListParagraph"/>
        <w:numPr>
          <w:ilvl w:val="0"/>
          <w:numId w:val="1"/>
        </w:numPr>
        <w:spacing w:after="0"/>
      </w:pPr>
      <w:r>
        <w:t>Contracting</w:t>
      </w:r>
    </w:p>
    <w:p w:rsidR="00A53D3C" w:rsidRDefault="00A53D3C" w:rsidP="00A53D3C">
      <w:pPr>
        <w:pStyle w:val="ListParagraph"/>
        <w:numPr>
          <w:ilvl w:val="0"/>
          <w:numId w:val="1"/>
        </w:numPr>
        <w:spacing w:after="0"/>
      </w:pPr>
      <w:r>
        <w:t>Business, Cost and Financial Management</w:t>
      </w:r>
    </w:p>
    <w:p w:rsidR="00A53D3C" w:rsidRDefault="00A53D3C" w:rsidP="00A53D3C">
      <w:pPr>
        <w:pStyle w:val="ListParagraph"/>
        <w:numPr>
          <w:ilvl w:val="0"/>
          <w:numId w:val="1"/>
        </w:numPr>
        <w:spacing w:after="0"/>
      </w:pPr>
      <w:r>
        <w:t>Leadership</w:t>
      </w:r>
    </w:p>
    <w:p w:rsidR="00A53D3C" w:rsidRDefault="007E3225" w:rsidP="007E3225">
      <w:pPr>
        <w:pStyle w:val="Heading2"/>
        <w:spacing w:before="240"/>
      </w:pPr>
      <w:r>
        <w:t>Performance Outcomes</w:t>
      </w:r>
    </w:p>
    <w:p w:rsidR="007E3225" w:rsidRDefault="007E3225" w:rsidP="00A53D3C">
      <w:pPr>
        <w:spacing w:after="0"/>
      </w:pPr>
      <w:r w:rsidRPr="007E3225">
        <w:t xml:space="preserve">Performance outcomes are task descriptions which are supported by the knowledge, skills and abilities that should be demonstrated in order to excel in the Project and Program Manager functional area. These outcomes can be demonstrated either by successful completion of training, on-the-job experience, education or other professional certifications. Performance outcomes have been defined for the FAC-P/PM competencies for the </w:t>
      </w:r>
      <w:r w:rsidR="00B1368C">
        <w:t>Level I</w:t>
      </w:r>
      <w:r w:rsidRPr="007E3225">
        <w:t xml:space="preserve"> certification described in this model below.</w:t>
      </w:r>
    </w:p>
    <w:p w:rsidR="007E3225" w:rsidRDefault="00BC6BCF" w:rsidP="007E3225">
      <w:pPr>
        <w:spacing w:before="240" w:after="0"/>
        <w:rPr>
          <w:rStyle w:val="Strong"/>
        </w:rPr>
      </w:pPr>
      <w:r>
        <w:rPr>
          <w:rStyle w:val="Strong"/>
        </w:rPr>
        <w:t>**</w:t>
      </w:r>
      <w:r w:rsidR="007E3225" w:rsidRPr="007E3225">
        <w:rPr>
          <w:rStyle w:val="Strong"/>
        </w:rPr>
        <w:t>In the sections provided below each competency, the applicant will describe their experience as it pertains to the Performance Outcomes required for the certification.</w:t>
      </w:r>
      <w:r>
        <w:rPr>
          <w:rStyle w:val="Strong"/>
        </w:rPr>
        <w:t>**</w:t>
      </w:r>
    </w:p>
    <w:p w:rsidR="005278E1" w:rsidRDefault="005278E1">
      <w:pPr>
        <w:rPr>
          <w:rStyle w:val="Strong"/>
          <w:rFonts w:asciiTheme="majorHAnsi" w:eastAsiaTheme="majorEastAsia" w:hAnsiTheme="majorHAnsi" w:cstheme="majorBidi"/>
          <w:b w:val="0"/>
          <w:spacing w:val="-10"/>
          <w:kern w:val="28"/>
          <w:sz w:val="32"/>
          <w:szCs w:val="56"/>
          <w:u w:val="single"/>
        </w:rPr>
      </w:pPr>
      <w:r>
        <w:rPr>
          <w:rStyle w:val="Strong"/>
          <w:sz w:val="32"/>
          <w:u w:val="single"/>
        </w:rPr>
        <w:br w:type="page"/>
      </w:r>
    </w:p>
    <w:p w:rsidR="00BC6BCF" w:rsidRPr="00BC6BCF" w:rsidRDefault="00BC6BCF" w:rsidP="00BC6BCF">
      <w:pPr>
        <w:pStyle w:val="Title"/>
        <w:rPr>
          <w:rStyle w:val="Strong"/>
          <w:sz w:val="32"/>
          <w:u w:val="single"/>
        </w:rPr>
      </w:pPr>
      <w:r w:rsidRPr="00BC6BCF">
        <w:rPr>
          <w:rStyle w:val="Strong"/>
          <w:sz w:val="32"/>
          <w:u w:val="single"/>
        </w:rPr>
        <w:lastRenderedPageBreak/>
        <w:t>FAC-P/PM Revised Workforce Competencies and Performance Outcomes</w:t>
      </w:r>
    </w:p>
    <w:p w:rsidR="00BC6BCF" w:rsidRPr="003C7D77" w:rsidRDefault="00BC6BCF" w:rsidP="005278E1">
      <w:pPr>
        <w:pStyle w:val="Heading1"/>
        <w:numPr>
          <w:ilvl w:val="0"/>
          <w:numId w:val="2"/>
        </w:numPr>
        <w:spacing w:before="360"/>
        <w:rPr>
          <w:rStyle w:val="Strong"/>
          <w:b/>
        </w:rPr>
      </w:pPr>
      <w:r w:rsidRPr="003C7D77">
        <w:rPr>
          <w:rStyle w:val="Strong"/>
          <w:b/>
          <w:smallCaps/>
          <w:u w:val="none"/>
        </w:rPr>
        <w:t>Requirements Development and Management Processes</w:t>
      </w:r>
    </w:p>
    <w:p w:rsidR="00BC6BCF" w:rsidRDefault="00674C6D" w:rsidP="005278E1">
      <w:pPr>
        <w:spacing w:after="120"/>
        <w:ind w:left="720"/>
      </w:pPr>
      <w:r>
        <w:t>Requirements development and management processes include: (1) knowledge of government-wide and agency-specific investment management requirements, filling gaps in capability needs, acquisition policies, and program management strategies that support assigned missions and functions; (2) understanding how to manage risk and the myriad of factors that influence cost, schedule, and performance; (3) attention to lessons learned; and</w:t>
      </w:r>
      <w:r>
        <w:t xml:space="preserve"> </w:t>
      </w:r>
      <w:r>
        <w:t>(4) an understanding of the metrics needed to manage programs and projects that deliver quality, affordable, supportable, and effective systems/products.</w:t>
      </w:r>
    </w:p>
    <w:p w:rsidR="00BC6BCF" w:rsidRPr="00B62AAD" w:rsidRDefault="00BC6BCF" w:rsidP="00B62AAD">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BC6BCF" w:rsidTr="0050185A">
        <w:trPr>
          <w:tblHeader/>
        </w:trPr>
        <w:tc>
          <w:tcPr>
            <w:tcW w:w="9350" w:type="dxa"/>
          </w:tcPr>
          <w:p w:rsidR="00BC6BCF" w:rsidRDefault="00BC6BCF" w:rsidP="00B62AAD">
            <w:pPr>
              <w:spacing w:before="120"/>
            </w:pPr>
          </w:p>
        </w:tc>
      </w:tr>
      <w:tr w:rsidR="00BC6BCF" w:rsidTr="00BC6BCF">
        <w:tc>
          <w:tcPr>
            <w:tcW w:w="9350" w:type="dxa"/>
          </w:tcPr>
          <w:p w:rsidR="00BC6BCF" w:rsidRDefault="00BC6BCF" w:rsidP="00B62AAD">
            <w:pPr>
              <w:spacing w:before="120"/>
            </w:pPr>
          </w:p>
        </w:tc>
      </w:tr>
      <w:tr w:rsidR="00BC6BCF" w:rsidTr="00BC6BCF">
        <w:tc>
          <w:tcPr>
            <w:tcW w:w="9350" w:type="dxa"/>
          </w:tcPr>
          <w:p w:rsidR="00BC6BCF" w:rsidRDefault="00BC6BCF" w:rsidP="00B62AAD">
            <w:pPr>
              <w:spacing w:before="120"/>
            </w:pPr>
          </w:p>
        </w:tc>
      </w:tr>
    </w:tbl>
    <w:p w:rsidR="00BC6BCF" w:rsidRDefault="00B1368C" w:rsidP="006B046C">
      <w:pPr>
        <w:pStyle w:val="Heading2"/>
        <w:numPr>
          <w:ilvl w:val="1"/>
          <w:numId w:val="6"/>
        </w:numPr>
        <w:spacing w:before="360"/>
        <w:ind w:left="720" w:hanging="720"/>
      </w:pPr>
      <w:r>
        <w:t>Entry-Level</w:t>
      </w:r>
      <w:r w:rsidR="00BC6BCF">
        <w:t xml:space="preserve"> Performance Outcomes</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sidRPr="00674C6D">
        <w:rPr>
          <w:rFonts w:ascii="Tahoma" w:eastAsiaTheme="minorHAnsi" w:hAnsi="Tahoma" w:cstheme="minorBidi"/>
          <w:sz w:val="24"/>
        </w:rPr>
        <w:t>Recognize the applicable laws, statutes and regulations that control the Federal acquisition process.</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Pr>
          <w:rFonts w:ascii="Tahoma" w:eastAsiaTheme="minorHAnsi" w:hAnsi="Tahoma" w:cstheme="minorBidi"/>
          <w:sz w:val="24"/>
        </w:rPr>
        <w:t>Identify</w:t>
      </w:r>
      <w:r w:rsidRPr="00674C6D">
        <w:rPr>
          <w:rFonts w:ascii="Tahoma" w:eastAsiaTheme="minorHAnsi" w:hAnsi="Tahoma" w:cstheme="minorBidi"/>
          <w:sz w:val="24"/>
        </w:rPr>
        <w:t xml:space="preserve"> the major organizations that control and execute the Federal acquisition process.</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sidRPr="00674C6D">
        <w:rPr>
          <w:rFonts w:ascii="Tahoma" w:eastAsiaTheme="minorHAnsi" w:hAnsi="Tahoma" w:cstheme="minorBidi"/>
          <w:sz w:val="24"/>
        </w:rPr>
        <w:t>Comprehend the interrelationship of the applicable governance, budgeting and requirements development processes which embody all Federal acquisitions.</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sidRPr="00674C6D">
        <w:rPr>
          <w:rFonts w:ascii="Tahoma" w:eastAsiaTheme="minorHAnsi" w:hAnsi="Tahoma" w:cstheme="minorBidi"/>
          <w:sz w:val="24"/>
        </w:rPr>
        <w:t>Describe the requirements development process and the criticality of meeting user/mission requirements.</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sidRPr="00674C6D">
        <w:rPr>
          <w:rFonts w:ascii="Tahoma" w:eastAsiaTheme="minorHAnsi" w:hAnsi="Tahoma" w:cstheme="minorBidi"/>
          <w:sz w:val="24"/>
        </w:rPr>
        <w:t>Comprehend a general life-cycle model an agency may use to select concepts to meet user/mission requirements.</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sidRPr="00674C6D">
        <w:rPr>
          <w:rFonts w:ascii="Tahoma" w:eastAsiaTheme="minorHAnsi" w:hAnsi="Tahoma" w:cstheme="minorBidi"/>
          <w:sz w:val="24"/>
        </w:rPr>
        <w:t>Recognize the role of the Acquisition Strategy and other key planning documentation.</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sidRPr="00674C6D">
        <w:rPr>
          <w:rFonts w:ascii="Tahoma" w:eastAsiaTheme="minorHAnsi" w:hAnsi="Tahoma" w:cstheme="minorBidi"/>
          <w:sz w:val="24"/>
        </w:rPr>
        <w:t>Define the utility, basic tenets and guidelines for preparing an Integrated Master Plan and Integrated Master Schedule.</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sidRPr="00674C6D">
        <w:rPr>
          <w:rFonts w:ascii="Tahoma" w:eastAsiaTheme="minorHAnsi" w:hAnsi="Tahoma" w:cstheme="minorBidi"/>
          <w:sz w:val="24"/>
        </w:rPr>
        <w:t>Recall the concept of Total Ownership Cost (TOC) and other cost descriptions that define cost accounting of the program.</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sidRPr="00674C6D">
        <w:rPr>
          <w:rFonts w:ascii="Tahoma" w:eastAsiaTheme="minorHAnsi" w:hAnsi="Tahoma" w:cstheme="minorBidi"/>
          <w:sz w:val="24"/>
        </w:rPr>
        <w:t>Recognize the program manager’s responsibility for managing program cost, schedule and performance to achieve program success.</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sidRPr="00674C6D">
        <w:rPr>
          <w:rFonts w:ascii="Tahoma" w:eastAsiaTheme="minorHAnsi" w:hAnsi="Tahoma" w:cstheme="minorBidi"/>
          <w:sz w:val="24"/>
        </w:rPr>
        <w:t>Generalize the risk/opportunity management process.</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sidRPr="00674C6D">
        <w:rPr>
          <w:rFonts w:ascii="Tahoma" w:eastAsiaTheme="minorHAnsi" w:hAnsi="Tahoma" w:cstheme="minorBidi"/>
          <w:sz w:val="24"/>
        </w:rPr>
        <w:t>Compare and contrast the major planning attributes of traditional, information technology, services and facilities construction programs.</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sidRPr="00674C6D">
        <w:rPr>
          <w:rFonts w:ascii="Tahoma" w:eastAsiaTheme="minorHAnsi" w:hAnsi="Tahoma" w:cstheme="minorBidi"/>
          <w:sz w:val="24"/>
        </w:rPr>
        <w:t>Comprehend the concept and utility of working groups and project oriented teams.</w:t>
      </w:r>
    </w:p>
    <w:p w:rsidR="00674C6D" w:rsidRPr="00674C6D" w:rsidRDefault="00674C6D" w:rsidP="00674C6D">
      <w:pPr>
        <w:pStyle w:val="BodyText"/>
        <w:numPr>
          <w:ilvl w:val="2"/>
          <w:numId w:val="6"/>
        </w:numPr>
        <w:tabs>
          <w:tab w:val="left" w:pos="724"/>
        </w:tabs>
        <w:kinsoku w:val="0"/>
        <w:overflowPunct w:val="0"/>
        <w:spacing w:before="100" w:beforeAutospacing="1"/>
        <w:ind w:left="720"/>
        <w:rPr>
          <w:rFonts w:ascii="Tahoma" w:eastAsiaTheme="minorHAnsi" w:hAnsi="Tahoma" w:cstheme="minorBidi"/>
          <w:sz w:val="24"/>
        </w:rPr>
      </w:pPr>
      <w:r w:rsidRPr="00674C6D">
        <w:rPr>
          <w:rFonts w:ascii="Tahoma" w:eastAsiaTheme="minorHAnsi" w:hAnsi="Tahoma" w:cstheme="minorBidi"/>
          <w:sz w:val="24"/>
        </w:rPr>
        <w:t xml:space="preserve">Identify the functions of membership in a working group or project oriented team. </w:t>
      </w:r>
    </w:p>
    <w:p w:rsidR="00AE30E6" w:rsidRDefault="00AE30E6" w:rsidP="005278E1">
      <w:pPr>
        <w:pStyle w:val="BodyText"/>
        <w:tabs>
          <w:tab w:val="left" w:pos="724"/>
        </w:tabs>
        <w:kinsoku w:val="0"/>
        <w:overflowPunct w:val="0"/>
        <w:spacing w:before="7"/>
        <w:rPr>
          <w:rFonts w:ascii="Tahoma" w:eastAsiaTheme="minorHAnsi" w:hAnsi="Tahoma" w:cstheme="minorBidi"/>
          <w:sz w:val="24"/>
        </w:rPr>
      </w:pPr>
    </w:p>
    <w:p w:rsidR="003C7D77" w:rsidRPr="003C7D77" w:rsidRDefault="003C7D77" w:rsidP="003C7D77">
      <w:pPr>
        <w:pStyle w:val="Heading1"/>
        <w:numPr>
          <w:ilvl w:val="0"/>
          <w:numId w:val="2"/>
        </w:numPr>
        <w:rPr>
          <w:rStyle w:val="Strong"/>
          <w:b/>
        </w:rPr>
      </w:pPr>
      <w:r>
        <w:rPr>
          <w:rStyle w:val="Strong"/>
          <w:b/>
          <w:smallCaps/>
          <w:u w:val="none"/>
        </w:rPr>
        <w:lastRenderedPageBreak/>
        <w:t>Systems Engineering</w:t>
      </w:r>
    </w:p>
    <w:p w:rsidR="003C7D77" w:rsidRDefault="005278E1" w:rsidP="003C7D77">
      <w:pPr>
        <w:ind w:left="720"/>
      </w:pPr>
      <w:r w:rsidRPr="005278E1">
        <w:t>The recognition of scientific, management, engineering and technical skills used in the performance of system planning, research and development, with an emphasis on performing and managing technical processes as well as the technical management process itself. This includes knowledge of the nature of the requirements development process, decision analysis methods, technical assessment, configuration management, and interface management.</w:t>
      </w:r>
    </w:p>
    <w:p w:rsidR="003C7D77" w:rsidRPr="00B62AAD" w:rsidRDefault="003C7D77" w:rsidP="003C7D77">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3C7D77" w:rsidTr="0050185A">
        <w:trPr>
          <w:tblHeader/>
        </w:trPr>
        <w:tc>
          <w:tcPr>
            <w:tcW w:w="9350" w:type="dxa"/>
          </w:tcPr>
          <w:p w:rsidR="003C7D77" w:rsidRDefault="003C7D77" w:rsidP="006C407B">
            <w:pPr>
              <w:spacing w:before="120"/>
            </w:pPr>
          </w:p>
        </w:tc>
      </w:tr>
      <w:tr w:rsidR="003C7D77" w:rsidTr="006C407B">
        <w:tc>
          <w:tcPr>
            <w:tcW w:w="9350" w:type="dxa"/>
          </w:tcPr>
          <w:p w:rsidR="003C7D77" w:rsidRDefault="003C7D77" w:rsidP="006C407B">
            <w:pPr>
              <w:spacing w:before="120"/>
            </w:pPr>
          </w:p>
        </w:tc>
      </w:tr>
      <w:tr w:rsidR="003C7D77" w:rsidTr="006C407B">
        <w:tc>
          <w:tcPr>
            <w:tcW w:w="9350" w:type="dxa"/>
          </w:tcPr>
          <w:p w:rsidR="003C7D77" w:rsidRDefault="003C7D77" w:rsidP="006C407B">
            <w:pPr>
              <w:spacing w:before="120"/>
            </w:pPr>
          </w:p>
        </w:tc>
      </w:tr>
    </w:tbl>
    <w:p w:rsidR="003C7D77" w:rsidRDefault="005278E1" w:rsidP="005278E1">
      <w:pPr>
        <w:pStyle w:val="Heading2"/>
        <w:spacing w:before="360"/>
        <w:ind w:left="821" w:hanging="821"/>
      </w:pPr>
      <w:r w:rsidRPr="005278E1">
        <w:rPr>
          <w:u w:val="none"/>
        </w:rPr>
        <w:t>2.1</w:t>
      </w:r>
      <w:r w:rsidRPr="005278E1">
        <w:rPr>
          <w:u w:val="none"/>
        </w:rPr>
        <w:tab/>
      </w:r>
      <w:r w:rsidR="00B1368C">
        <w:t>Entry-Level</w:t>
      </w:r>
      <w:r w:rsidR="003C7D77">
        <w:t xml:space="preserve"> Performance Outcomes</w:t>
      </w:r>
    </w:p>
    <w:p w:rsidR="005278E1" w:rsidRPr="005278E1" w:rsidRDefault="005278E1" w:rsidP="005278E1">
      <w:pPr>
        <w:pStyle w:val="BodyText"/>
        <w:tabs>
          <w:tab w:val="left" w:pos="724"/>
        </w:tabs>
        <w:kinsoku w:val="0"/>
        <w:overflowPunct w:val="0"/>
        <w:spacing w:before="7"/>
        <w:ind w:left="821" w:hanging="821"/>
        <w:rPr>
          <w:rFonts w:ascii="Tahoma" w:eastAsiaTheme="minorHAnsi" w:hAnsi="Tahoma" w:cstheme="minorBidi"/>
          <w:sz w:val="24"/>
        </w:rPr>
      </w:pPr>
      <w:r w:rsidRPr="005278E1">
        <w:rPr>
          <w:rFonts w:ascii="Tahoma" w:eastAsiaTheme="minorHAnsi" w:hAnsi="Tahoma" w:cstheme="minorBidi"/>
          <w:sz w:val="24"/>
        </w:rPr>
        <w:t>2.1.1.</w:t>
      </w:r>
      <w:r w:rsidRPr="005278E1">
        <w:rPr>
          <w:rFonts w:ascii="Tahoma" w:eastAsiaTheme="minorHAnsi" w:hAnsi="Tahoma" w:cstheme="minorBidi"/>
          <w:sz w:val="24"/>
        </w:rPr>
        <w:tab/>
      </w:r>
      <w:r>
        <w:rPr>
          <w:rFonts w:ascii="Tahoma" w:eastAsiaTheme="minorHAnsi" w:hAnsi="Tahoma" w:cstheme="minorBidi"/>
          <w:sz w:val="24"/>
        </w:rPr>
        <w:tab/>
      </w:r>
      <w:r w:rsidRPr="005278E1">
        <w:rPr>
          <w:rFonts w:ascii="Tahoma" w:eastAsiaTheme="minorHAnsi" w:hAnsi="Tahoma" w:cstheme="minorBidi"/>
          <w:sz w:val="24"/>
        </w:rPr>
        <w:t>Recognize the importance of integrating the SE life cycle and its technical management and review process with the acquisition life cycle.</w:t>
      </w:r>
    </w:p>
    <w:p w:rsidR="005278E1" w:rsidRPr="005278E1" w:rsidRDefault="005278E1" w:rsidP="005278E1">
      <w:pPr>
        <w:pStyle w:val="BodyText"/>
        <w:tabs>
          <w:tab w:val="left" w:pos="724"/>
        </w:tabs>
        <w:kinsoku w:val="0"/>
        <w:overflowPunct w:val="0"/>
        <w:spacing w:before="7"/>
        <w:ind w:left="821" w:hanging="821"/>
        <w:rPr>
          <w:rFonts w:ascii="Tahoma" w:eastAsiaTheme="minorHAnsi" w:hAnsi="Tahoma" w:cstheme="minorBidi"/>
          <w:sz w:val="24"/>
        </w:rPr>
      </w:pPr>
      <w:r w:rsidRPr="005278E1">
        <w:rPr>
          <w:rFonts w:ascii="Tahoma" w:eastAsiaTheme="minorHAnsi" w:hAnsi="Tahoma" w:cstheme="minorBidi"/>
          <w:sz w:val="24"/>
        </w:rPr>
        <w:t>2.1.2.</w:t>
      </w:r>
      <w:r w:rsidRPr="005278E1">
        <w:rPr>
          <w:rFonts w:ascii="Tahoma" w:eastAsiaTheme="minorHAnsi" w:hAnsi="Tahoma" w:cstheme="minorBidi"/>
          <w:sz w:val="24"/>
        </w:rPr>
        <w:tab/>
      </w:r>
      <w:r>
        <w:rPr>
          <w:rFonts w:ascii="Tahoma" w:eastAsiaTheme="minorHAnsi" w:hAnsi="Tahoma" w:cstheme="minorBidi"/>
          <w:sz w:val="24"/>
        </w:rPr>
        <w:tab/>
      </w:r>
      <w:r w:rsidRPr="005278E1">
        <w:rPr>
          <w:rFonts w:ascii="Tahoma" w:eastAsiaTheme="minorHAnsi" w:hAnsi="Tahoma" w:cstheme="minorBidi"/>
          <w:sz w:val="24"/>
        </w:rPr>
        <w:t>Identify and relate the utility of key technical management processes and tools used in the SE process, including: configuration management, technical performance measures, and technical design reviews.</w:t>
      </w:r>
    </w:p>
    <w:p w:rsidR="005278E1" w:rsidRPr="005278E1" w:rsidRDefault="005278E1" w:rsidP="005278E1">
      <w:pPr>
        <w:pStyle w:val="BodyText"/>
        <w:tabs>
          <w:tab w:val="left" w:pos="724"/>
        </w:tabs>
        <w:kinsoku w:val="0"/>
        <w:overflowPunct w:val="0"/>
        <w:spacing w:before="7"/>
        <w:ind w:left="821" w:hanging="821"/>
        <w:rPr>
          <w:rFonts w:ascii="Tahoma" w:eastAsiaTheme="minorHAnsi" w:hAnsi="Tahoma" w:cstheme="minorBidi"/>
          <w:sz w:val="24"/>
        </w:rPr>
      </w:pPr>
      <w:r w:rsidRPr="005278E1">
        <w:rPr>
          <w:rFonts w:ascii="Tahoma" w:eastAsiaTheme="minorHAnsi" w:hAnsi="Tahoma" w:cstheme="minorBidi"/>
          <w:sz w:val="24"/>
        </w:rPr>
        <w:t>2.1.3.</w:t>
      </w:r>
      <w:r w:rsidRPr="005278E1">
        <w:rPr>
          <w:rFonts w:ascii="Tahoma" w:eastAsiaTheme="minorHAnsi" w:hAnsi="Tahoma" w:cstheme="minorBidi"/>
          <w:sz w:val="24"/>
        </w:rPr>
        <w:tab/>
      </w:r>
      <w:r>
        <w:rPr>
          <w:rFonts w:ascii="Tahoma" w:eastAsiaTheme="minorHAnsi" w:hAnsi="Tahoma" w:cstheme="minorBidi"/>
          <w:sz w:val="24"/>
        </w:rPr>
        <w:tab/>
      </w:r>
      <w:r w:rsidRPr="005278E1">
        <w:rPr>
          <w:rFonts w:ascii="Tahoma" w:eastAsiaTheme="minorHAnsi" w:hAnsi="Tahoma" w:cstheme="minorBidi"/>
          <w:sz w:val="24"/>
        </w:rPr>
        <w:t>Recognize the roles and responsibilities of the Government and the contractor in the SE process.</w:t>
      </w:r>
    </w:p>
    <w:p w:rsidR="005278E1" w:rsidRPr="005278E1" w:rsidRDefault="005278E1" w:rsidP="005278E1">
      <w:pPr>
        <w:pStyle w:val="BodyText"/>
        <w:tabs>
          <w:tab w:val="left" w:pos="724"/>
        </w:tabs>
        <w:kinsoku w:val="0"/>
        <w:overflowPunct w:val="0"/>
        <w:spacing w:before="7"/>
        <w:ind w:left="821" w:hanging="821"/>
        <w:rPr>
          <w:rFonts w:ascii="Tahoma" w:eastAsiaTheme="minorHAnsi" w:hAnsi="Tahoma" w:cstheme="minorBidi"/>
          <w:sz w:val="24"/>
        </w:rPr>
      </w:pPr>
      <w:r w:rsidRPr="005278E1">
        <w:rPr>
          <w:rFonts w:ascii="Tahoma" w:eastAsiaTheme="minorHAnsi" w:hAnsi="Tahoma" w:cstheme="minorBidi"/>
          <w:sz w:val="24"/>
        </w:rPr>
        <w:t>2.1.4.</w:t>
      </w:r>
      <w:r w:rsidRPr="005278E1">
        <w:rPr>
          <w:rFonts w:ascii="Tahoma" w:eastAsiaTheme="minorHAnsi" w:hAnsi="Tahoma" w:cstheme="minorBidi"/>
          <w:sz w:val="24"/>
        </w:rPr>
        <w:tab/>
      </w:r>
      <w:r>
        <w:rPr>
          <w:rFonts w:ascii="Tahoma" w:eastAsiaTheme="minorHAnsi" w:hAnsi="Tahoma" w:cstheme="minorBidi"/>
          <w:sz w:val="24"/>
        </w:rPr>
        <w:tab/>
      </w:r>
      <w:r w:rsidRPr="005278E1">
        <w:rPr>
          <w:rFonts w:ascii="Tahoma" w:eastAsiaTheme="minorHAnsi" w:hAnsi="Tahoma" w:cstheme="minorBidi"/>
          <w:sz w:val="24"/>
        </w:rPr>
        <w:t>Recognize the utility of using work breakdown structures (WBS) as a technical management tool across all functional disciplines in the acquisition process.</w:t>
      </w:r>
    </w:p>
    <w:p w:rsidR="005278E1" w:rsidRPr="005278E1" w:rsidRDefault="005278E1" w:rsidP="005278E1">
      <w:pPr>
        <w:pStyle w:val="BodyText"/>
        <w:tabs>
          <w:tab w:val="left" w:pos="724"/>
        </w:tabs>
        <w:kinsoku w:val="0"/>
        <w:overflowPunct w:val="0"/>
        <w:spacing w:before="7"/>
        <w:ind w:left="821" w:hanging="821"/>
        <w:rPr>
          <w:rFonts w:ascii="Tahoma" w:eastAsiaTheme="minorHAnsi" w:hAnsi="Tahoma" w:cstheme="minorBidi"/>
          <w:sz w:val="24"/>
        </w:rPr>
      </w:pPr>
      <w:r w:rsidRPr="005278E1">
        <w:rPr>
          <w:rFonts w:ascii="Tahoma" w:eastAsiaTheme="minorHAnsi" w:hAnsi="Tahoma" w:cstheme="minorBidi"/>
          <w:sz w:val="24"/>
        </w:rPr>
        <w:t>2.1.5.</w:t>
      </w:r>
      <w:r w:rsidRPr="005278E1">
        <w:rPr>
          <w:rFonts w:ascii="Tahoma" w:eastAsiaTheme="minorHAnsi" w:hAnsi="Tahoma" w:cstheme="minorBidi"/>
          <w:sz w:val="24"/>
        </w:rPr>
        <w:tab/>
      </w:r>
      <w:r>
        <w:rPr>
          <w:rFonts w:ascii="Tahoma" w:eastAsiaTheme="minorHAnsi" w:hAnsi="Tahoma" w:cstheme="minorBidi"/>
          <w:sz w:val="24"/>
        </w:rPr>
        <w:tab/>
      </w:r>
      <w:r w:rsidRPr="005278E1">
        <w:rPr>
          <w:rFonts w:ascii="Tahoma" w:eastAsiaTheme="minorHAnsi" w:hAnsi="Tahoma" w:cstheme="minorBidi"/>
          <w:sz w:val="24"/>
        </w:rPr>
        <w:t>Discuss the concept of systems management and the role of human factor engineering in system engineering.</w:t>
      </w:r>
    </w:p>
    <w:p w:rsidR="005278E1" w:rsidRPr="005278E1" w:rsidRDefault="005278E1" w:rsidP="005278E1">
      <w:pPr>
        <w:pStyle w:val="BodyText"/>
        <w:tabs>
          <w:tab w:val="left" w:pos="724"/>
        </w:tabs>
        <w:kinsoku w:val="0"/>
        <w:overflowPunct w:val="0"/>
        <w:spacing w:before="7"/>
        <w:ind w:left="821" w:hanging="821"/>
        <w:rPr>
          <w:rFonts w:ascii="Tahoma" w:eastAsiaTheme="minorHAnsi" w:hAnsi="Tahoma" w:cstheme="minorBidi"/>
          <w:sz w:val="24"/>
        </w:rPr>
      </w:pPr>
      <w:r w:rsidRPr="005278E1">
        <w:rPr>
          <w:rFonts w:ascii="Tahoma" w:eastAsiaTheme="minorHAnsi" w:hAnsi="Tahoma" w:cstheme="minorBidi"/>
          <w:sz w:val="24"/>
        </w:rPr>
        <w:t>2.1.6.</w:t>
      </w:r>
      <w:r>
        <w:rPr>
          <w:rFonts w:ascii="Tahoma" w:eastAsiaTheme="minorHAnsi" w:hAnsi="Tahoma" w:cstheme="minorBidi"/>
          <w:sz w:val="24"/>
        </w:rPr>
        <w:tab/>
      </w:r>
      <w:r w:rsidRPr="005278E1">
        <w:rPr>
          <w:rFonts w:ascii="Tahoma" w:eastAsiaTheme="minorHAnsi" w:hAnsi="Tahoma" w:cstheme="minorBidi"/>
          <w:sz w:val="24"/>
        </w:rPr>
        <w:tab/>
        <w:t>Define the key aspects of a plan for technical assessment that measures technical progress and assist in the development of a technical assessment plan.</w:t>
      </w:r>
    </w:p>
    <w:p w:rsidR="005278E1" w:rsidRPr="005278E1" w:rsidRDefault="005278E1" w:rsidP="005278E1">
      <w:pPr>
        <w:pStyle w:val="BodyText"/>
        <w:tabs>
          <w:tab w:val="left" w:pos="724"/>
        </w:tabs>
        <w:kinsoku w:val="0"/>
        <w:overflowPunct w:val="0"/>
        <w:spacing w:before="7"/>
        <w:ind w:left="821" w:hanging="821"/>
        <w:rPr>
          <w:rFonts w:ascii="Tahoma" w:eastAsiaTheme="minorHAnsi" w:hAnsi="Tahoma" w:cstheme="minorBidi"/>
          <w:sz w:val="24"/>
        </w:rPr>
      </w:pPr>
      <w:r w:rsidRPr="005278E1">
        <w:rPr>
          <w:rFonts w:ascii="Tahoma" w:eastAsiaTheme="minorHAnsi" w:hAnsi="Tahoma" w:cstheme="minorBidi"/>
          <w:sz w:val="24"/>
        </w:rPr>
        <w:t>2.1.7.</w:t>
      </w:r>
      <w:r w:rsidRPr="005278E1">
        <w:rPr>
          <w:rFonts w:ascii="Tahoma" w:eastAsiaTheme="minorHAnsi" w:hAnsi="Tahoma" w:cstheme="minorBidi"/>
          <w:sz w:val="24"/>
        </w:rPr>
        <w:tab/>
      </w:r>
      <w:r>
        <w:rPr>
          <w:rFonts w:ascii="Tahoma" w:eastAsiaTheme="minorHAnsi" w:hAnsi="Tahoma" w:cstheme="minorBidi"/>
          <w:sz w:val="24"/>
        </w:rPr>
        <w:tab/>
      </w:r>
      <w:r w:rsidRPr="005278E1">
        <w:rPr>
          <w:rFonts w:ascii="Tahoma" w:eastAsiaTheme="minorHAnsi" w:hAnsi="Tahoma" w:cstheme="minorBidi"/>
          <w:sz w:val="24"/>
        </w:rPr>
        <w:t>Define the key aspects of risk management in the context of systems engineering and participate in development of a risk/opportunity management plan.</w:t>
      </w:r>
    </w:p>
    <w:p w:rsidR="005278E1" w:rsidRPr="005278E1" w:rsidRDefault="005278E1" w:rsidP="005278E1">
      <w:pPr>
        <w:pStyle w:val="BodyText"/>
        <w:tabs>
          <w:tab w:val="left" w:pos="724"/>
        </w:tabs>
        <w:kinsoku w:val="0"/>
        <w:overflowPunct w:val="0"/>
        <w:spacing w:before="7"/>
        <w:ind w:left="821" w:hanging="821"/>
        <w:rPr>
          <w:rFonts w:ascii="Tahoma" w:eastAsiaTheme="minorHAnsi" w:hAnsi="Tahoma" w:cstheme="minorBidi"/>
          <w:sz w:val="24"/>
        </w:rPr>
      </w:pPr>
      <w:r w:rsidRPr="005278E1">
        <w:rPr>
          <w:rFonts w:ascii="Tahoma" w:eastAsiaTheme="minorHAnsi" w:hAnsi="Tahoma" w:cstheme="minorBidi"/>
          <w:sz w:val="24"/>
        </w:rPr>
        <w:t>2.1.8.</w:t>
      </w:r>
      <w:r w:rsidRPr="005278E1">
        <w:rPr>
          <w:rFonts w:ascii="Tahoma" w:eastAsiaTheme="minorHAnsi" w:hAnsi="Tahoma" w:cstheme="minorBidi"/>
          <w:sz w:val="24"/>
        </w:rPr>
        <w:tab/>
      </w:r>
      <w:r>
        <w:rPr>
          <w:rFonts w:ascii="Tahoma" w:eastAsiaTheme="minorHAnsi" w:hAnsi="Tahoma" w:cstheme="minorBidi"/>
          <w:sz w:val="24"/>
        </w:rPr>
        <w:tab/>
      </w:r>
      <w:r w:rsidRPr="005278E1">
        <w:rPr>
          <w:rFonts w:ascii="Tahoma" w:eastAsiaTheme="minorHAnsi" w:hAnsi="Tahoma" w:cstheme="minorBidi"/>
          <w:sz w:val="24"/>
        </w:rPr>
        <w:t>Describe the content for a technical data management plan.</w:t>
      </w:r>
    </w:p>
    <w:p w:rsidR="005278E1" w:rsidRPr="005278E1" w:rsidRDefault="005278E1" w:rsidP="005278E1">
      <w:pPr>
        <w:pStyle w:val="BodyText"/>
        <w:tabs>
          <w:tab w:val="left" w:pos="724"/>
        </w:tabs>
        <w:kinsoku w:val="0"/>
        <w:overflowPunct w:val="0"/>
        <w:spacing w:before="7"/>
        <w:ind w:left="821" w:hanging="821"/>
        <w:rPr>
          <w:rFonts w:ascii="Tahoma" w:eastAsiaTheme="minorHAnsi" w:hAnsi="Tahoma" w:cstheme="minorBidi"/>
          <w:sz w:val="24"/>
        </w:rPr>
      </w:pPr>
      <w:r w:rsidRPr="005278E1">
        <w:rPr>
          <w:rFonts w:ascii="Tahoma" w:eastAsiaTheme="minorHAnsi" w:hAnsi="Tahoma" w:cstheme="minorBidi"/>
          <w:sz w:val="24"/>
        </w:rPr>
        <w:t>2.1.9.</w:t>
      </w:r>
      <w:r w:rsidRPr="005278E1">
        <w:rPr>
          <w:rFonts w:ascii="Tahoma" w:eastAsiaTheme="minorHAnsi" w:hAnsi="Tahoma" w:cstheme="minorBidi"/>
          <w:sz w:val="24"/>
        </w:rPr>
        <w:tab/>
      </w:r>
      <w:r>
        <w:rPr>
          <w:rFonts w:ascii="Tahoma" w:eastAsiaTheme="minorHAnsi" w:hAnsi="Tahoma" w:cstheme="minorBidi"/>
          <w:sz w:val="24"/>
        </w:rPr>
        <w:tab/>
      </w:r>
      <w:r w:rsidRPr="005278E1">
        <w:rPr>
          <w:rFonts w:ascii="Tahoma" w:eastAsiaTheme="minorHAnsi" w:hAnsi="Tahoma" w:cstheme="minorBidi"/>
          <w:sz w:val="24"/>
        </w:rPr>
        <w:t>Summarize the process for monitoring and selecting a balanced systems design solution.</w:t>
      </w:r>
    </w:p>
    <w:p w:rsidR="003C7D77" w:rsidRDefault="005278E1" w:rsidP="005278E1">
      <w:pPr>
        <w:pStyle w:val="BodyText"/>
        <w:tabs>
          <w:tab w:val="left" w:pos="724"/>
        </w:tabs>
        <w:kinsoku w:val="0"/>
        <w:overflowPunct w:val="0"/>
        <w:spacing w:before="7"/>
        <w:ind w:left="821" w:hanging="821"/>
        <w:rPr>
          <w:rFonts w:ascii="Tahoma" w:eastAsiaTheme="minorHAnsi" w:hAnsi="Tahoma" w:cstheme="minorBidi"/>
          <w:sz w:val="24"/>
        </w:rPr>
      </w:pPr>
      <w:r w:rsidRPr="005278E1">
        <w:rPr>
          <w:rFonts w:ascii="Tahoma" w:eastAsiaTheme="minorHAnsi" w:hAnsi="Tahoma" w:cstheme="minorBidi"/>
          <w:sz w:val="24"/>
        </w:rPr>
        <w:t>2.1.10.</w:t>
      </w:r>
      <w:r w:rsidRPr="005278E1">
        <w:rPr>
          <w:rFonts w:ascii="Tahoma" w:eastAsiaTheme="minorHAnsi" w:hAnsi="Tahoma" w:cstheme="minorBidi"/>
          <w:sz w:val="24"/>
        </w:rPr>
        <w:tab/>
        <w:t>Comprehend the need for design considerations accounting for: environmental, safety and occupational health (ESOH); human factors; and security factors</w:t>
      </w:r>
    </w:p>
    <w:p w:rsidR="005278E1" w:rsidRDefault="005278E1">
      <w:pPr>
        <w:rPr>
          <w:rStyle w:val="Strong"/>
          <w:rFonts w:asciiTheme="majorHAnsi" w:eastAsiaTheme="majorEastAsia" w:hAnsiTheme="majorHAnsi" w:cstheme="majorBidi"/>
          <w:smallCaps/>
          <w:color w:val="000000" w:themeColor="text1"/>
          <w:sz w:val="28"/>
          <w:szCs w:val="32"/>
        </w:rPr>
      </w:pPr>
      <w:r>
        <w:rPr>
          <w:rStyle w:val="Strong"/>
          <w:b w:val="0"/>
          <w:smallCaps/>
        </w:rPr>
        <w:br w:type="page"/>
      </w:r>
    </w:p>
    <w:p w:rsidR="00DD5B3D" w:rsidRPr="003C7D77" w:rsidRDefault="00DD5B3D" w:rsidP="00DD5B3D">
      <w:pPr>
        <w:pStyle w:val="Heading1"/>
        <w:numPr>
          <w:ilvl w:val="0"/>
          <w:numId w:val="2"/>
        </w:numPr>
        <w:rPr>
          <w:rStyle w:val="Strong"/>
          <w:b/>
        </w:rPr>
      </w:pPr>
      <w:r>
        <w:rPr>
          <w:rStyle w:val="Strong"/>
          <w:b/>
          <w:smallCaps/>
          <w:u w:val="none"/>
        </w:rPr>
        <w:lastRenderedPageBreak/>
        <w:t>Test and Evaluation</w:t>
      </w:r>
    </w:p>
    <w:p w:rsidR="00DD5B3D" w:rsidRDefault="00DD5B3D" w:rsidP="00DD5B3D">
      <w:pPr>
        <w:ind w:left="720"/>
      </w:pPr>
      <w:r>
        <w:rPr>
          <w:spacing w:val="-1"/>
        </w:rPr>
        <w:t>Knowledge</w:t>
      </w:r>
      <w:r>
        <w:t xml:space="preserve"> </w:t>
      </w:r>
      <w:r>
        <w:rPr>
          <w:spacing w:val="-2"/>
        </w:rPr>
        <w:t>of</w:t>
      </w:r>
      <w:r>
        <w:rPr>
          <w:spacing w:val="2"/>
        </w:rPr>
        <w:t xml:space="preserve"> </w:t>
      </w:r>
      <w:r>
        <w:rPr>
          <w:spacing w:val="-1"/>
        </w:rPr>
        <w:t>efficient</w:t>
      </w:r>
      <w:r>
        <w:rPr>
          <w:spacing w:val="2"/>
        </w:rPr>
        <w:t xml:space="preserve"> </w:t>
      </w:r>
      <w:r>
        <w:rPr>
          <w:spacing w:val="-1"/>
        </w:rPr>
        <w:t>and</w:t>
      </w:r>
      <w:r>
        <w:rPr>
          <w:spacing w:val="-2"/>
        </w:rPr>
        <w:t xml:space="preserve"> </w:t>
      </w:r>
      <w:r>
        <w:t>cost</w:t>
      </w:r>
      <w:r>
        <w:rPr>
          <w:spacing w:val="-1"/>
        </w:rPr>
        <w:t xml:space="preserve"> </w:t>
      </w:r>
      <w:r>
        <w:rPr>
          <w:spacing w:val="-2"/>
        </w:rPr>
        <w:t>effective</w:t>
      </w:r>
      <w:r>
        <w:t xml:space="preserve"> methods</w:t>
      </w:r>
      <w:r>
        <w:rPr>
          <w:spacing w:val="-4"/>
        </w:rPr>
        <w:t xml:space="preserve"> </w:t>
      </w:r>
      <w:r>
        <w:t>for</w:t>
      </w:r>
      <w:r>
        <w:rPr>
          <w:spacing w:val="47"/>
        </w:rPr>
        <w:t xml:space="preserve"> </w:t>
      </w:r>
      <w:r>
        <w:rPr>
          <w:spacing w:val="-1"/>
        </w:rPr>
        <w:t>planning, monitoring, conducting</w:t>
      </w:r>
      <w:r>
        <w:t xml:space="preserve"> and</w:t>
      </w:r>
      <w:r>
        <w:rPr>
          <w:spacing w:val="-2"/>
        </w:rPr>
        <w:t xml:space="preserve"> </w:t>
      </w:r>
      <w:r>
        <w:rPr>
          <w:spacing w:val="-1"/>
        </w:rPr>
        <w:t>evaluating</w:t>
      </w:r>
      <w:r>
        <w:t xml:space="preserve"> </w:t>
      </w:r>
      <w:r>
        <w:rPr>
          <w:spacing w:val="-1"/>
        </w:rPr>
        <w:t>tests</w:t>
      </w:r>
      <w:r>
        <w:rPr>
          <w:spacing w:val="1"/>
        </w:rPr>
        <w:t xml:space="preserve"> </w:t>
      </w:r>
      <w:r>
        <w:rPr>
          <w:spacing w:val="-2"/>
        </w:rPr>
        <w:t>of</w:t>
      </w:r>
      <w:r>
        <w:rPr>
          <w:spacing w:val="2"/>
        </w:rPr>
        <w:t xml:space="preserve"> </w:t>
      </w:r>
      <w:r>
        <w:rPr>
          <w:spacing w:val="-1"/>
        </w:rPr>
        <w:t>prototype,</w:t>
      </w:r>
      <w:r>
        <w:rPr>
          <w:spacing w:val="2"/>
        </w:rPr>
        <w:t xml:space="preserve"> </w:t>
      </w:r>
      <w:r>
        <w:rPr>
          <w:spacing w:val="-1"/>
        </w:rPr>
        <w:t>new</w:t>
      </w:r>
      <w:r>
        <w:rPr>
          <w:spacing w:val="-3"/>
        </w:rPr>
        <w:t xml:space="preserve"> </w:t>
      </w:r>
      <w:r>
        <w:t>or</w:t>
      </w:r>
      <w:r>
        <w:rPr>
          <w:spacing w:val="-1"/>
        </w:rPr>
        <w:t xml:space="preserve"> modified</w:t>
      </w:r>
      <w:r>
        <w:rPr>
          <w:spacing w:val="-2"/>
        </w:rPr>
        <w:t xml:space="preserve"> </w:t>
      </w:r>
      <w:r>
        <w:rPr>
          <w:spacing w:val="-1"/>
        </w:rPr>
        <w:t>systems</w:t>
      </w:r>
      <w:r>
        <w:rPr>
          <w:spacing w:val="59"/>
        </w:rPr>
        <w:t xml:space="preserve"> </w:t>
      </w:r>
      <w:r>
        <w:rPr>
          <w:spacing w:val="-1"/>
        </w:rPr>
        <w:t>equipment</w:t>
      </w:r>
      <w:r>
        <w:rPr>
          <w:spacing w:val="2"/>
        </w:rPr>
        <w:t xml:space="preserve"> </w:t>
      </w:r>
      <w:r>
        <w:rPr>
          <w:spacing w:val="-2"/>
        </w:rPr>
        <w:t>or</w:t>
      </w:r>
      <w:r>
        <w:rPr>
          <w:spacing w:val="-1"/>
        </w:rPr>
        <w:t xml:space="preserve"> material,</w:t>
      </w:r>
      <w:r>
        <w:rPr>
          <w:spacing w:val="2"/>
        </w:rPr>
        <w:t xml:space="preserve"> </w:t>
      </w:r>
      <w:r>
        <w:rPr>
          <w:spacing w:val="-2"/>
        </w:rPr>
        <w:t>including</w:t>
      </w:r>
      <w:r>
        <w:t xml:space="preserve"> the </w:t>
      </w:r>
      <w:r>
        <w:rPr>
          <w:spacing w:val="-1"/>
        </w:rPr>
        <w:t>need</w:t>
      </w:r>
      <w:r>
        <w:rPr>
          <w:spacing w:val="-2"/>
        </w:rPr>
        <w:t xml:space="preserve"> </w:t>
      </w:r>
      <w:r>
        <w:t>to</w:t>
      </w:r>
      <w:r>
        <w:rPr>
          <w:spacing w:val="-2"/>
        </w:rPr>
        <w:t xml:space="preserve"> </w:t>
      </w:r>
      <w:r>
        <w:rPr>
          <w:spacing w:val="-1"/>
        </w:rPr>
        <w:t>develop</w:t>
      </w:r>
      <w:r>
        <w:t xml:space="preserve"> a</w:t>
      </w:r>
      <w:r>
        <w:rPr>
          <w:spacing w:val="-2"/>
        </w:rPr>
        <w:t xml:space="preserve"> </w:t>
      </w:r>
      <w:r>
        <w:rPr>
          <w:spacing w:val="-1"/>
        </w:rPr>
        <w:t>thorough</w:t>
      </w:r>
      <w:r>
        <w:rPr>
          <w:spacing w:val="-2"/>
        </w:rPr>
        <w:t xml:space="preserve"> </w:t>
      </w:r>
      <w:r>
        <w:rPr>
          <w:spacing w:val="-1"/>
        </w:rPr>
        <w:t>strategy</w:t>
      </w:r>
      <w:r>
        <w:rPr>
          <w:spacing w:val="-4"/>
        </w:rPr>
        <w:t xml:space="preserve"> </w:t>
      </w:r>
      <w:r>
        <w:t>to</w:t>
      </w:r>
      <w:r>
        <w:rPr>
          <w:spacing w:val="-2"/>
        </w:rPr>
        <w:t xml:space="preserve"> </w:t>
      </w:r>
      <w:r>
        <w:rPr>
          <w:spacing w:val="-1"/>
        </w:rPr>
        <w:t>validate</w:t>
      </w:r>
      <w:r>
        <w:t xml:space="preserve"> </w:t>
      </w:r>
      <w:r>
        <w:rPr>
          <w:spacing w:val="-1"/>
        </w:rPr>
        <w:t>system</w:t>
      </w:r>
      <w:r>
        <w:rPr>
          <w:spacing w:val="67"/>
        </w:rPr>
        <w:t xml:space="preserve"> </w:t>
      </w:r>
      <w:r>
        <w:rPr>
          <w:spacing w:val="-1"/>
        </w:rPr>
        <w:t>performance</w:t>
      </w:r>
      <w:r>
        <w:rPr>
          <w:spacing w:val="-2"/>
        </w:rPr>
        <w:t xml:space="preserve"> </w:t>
      </w:r>
      <w:r>
        <w:rPr>
          <w:spacing w:val="-1"/>
        </w:rPr>
        <w:t>through</w:t>
      </w:r>
      <w:r>
        <w:rPr>
          <w:spacing w:val="-2"/>
        </w:rPr>
        <w:t xml:space="preserve"> </w:t>
      </w:r>
      <w:r>
        <w:rPr>
          <w:spacing w:val="-1"/>
        </w:rPr>
        <w:t>measurable</w:t>
      </w:r>
      <w:r>
        <w:rPr>
          <w:spacing w:val="-2"/>
        </w:rPr>
        <w:t xml:space="preserve"> </w:t>
      </w:r>
      <w:r>
        <w:t>methods</w:t>
      </w:r>
      <w:r>
        <w:rPr>
          <w:spacing w:val="-2"/>
        </w:rPr>
        <w:t xml:space="preserve"> </w:t>
      </w:r>
      <w:r>
        <w:rPr>
          <w:spacing w:val="-1"/>
        </w:rPr>
        <w:t>that relate</w:t>
      </w:r>
      <w:r>
        <w:rPr>
          <w:spacing w:val="1"/>
        </w:rPr>
        <w:t xml:space="preserve"> </w:t>
      </w:r>
      <w:r>
        <w:rPr>
          <w:spacing w:val="-1"/>
        </w:rPr>
        <w:t>directly</w:t>
      </w:r>
      <w:r>
        <w:rPr>
          <w:spacing w:val="-2"/>
        </w:rPr>
        <w:t xml:space="preserve"> </w:t>
      </w:r>
      <w:r>
        <w:t xml:space="preserve">to </w:t>
      </w:r>
      <w:r>
        <w:rPr>
          <w:spacing w:val="-1"/>
        </w:rPr>
        <w:t>requirements</w:t>
      </w:r>
      <w:r>
        <w:rPr>
          <w:spacing w:val="1"/>
        </w:rPr>
        <w:t xml:space="preserve"> </w:t>
      </w:r>
      <w:r>
        <w:rPr>
          <w:spacing w:val="-1"/>
        </w:rPr>
        <w:t>and</w:t>
      </w:r>
      <w:r>
        <w:rPr>
          <w:spacing w:val="-2"/>
        </w:rPr>
        <w:t xml:space="preserve"> </w:t>
      </w:r>
      <w:r>
        <w:t>to</w:t>
      </w:r>
      <w:r>
        <w:rPr>
          <w:spacing w:val="39"/>
        </w:rPr>
        <w:t xml:space="preserve"> </w:t>
      </w:r>
      <w:r>
        <w:rPr>
          <w:spacing w:val="-1"/>
        </w:rPr>
        <w:t>develop</w:t>
      </w:r>
      <w:r>
        <w:t xml:space="preserve"> </w:t>
      </w:r>
      <w:r>
        <w:rPr>
          <w:spacing w:val="-1"/>
        </w:rPr>
        <w:t>metrics</w:t>
      </w:r>
      <w:r>
        <w:rPr>
          <w:spacing w:val="-2"/>
        </w:rPr>
        <w:t xml:space="preserve"> </w:t>
      </w:r>
      <w:r>
        <w:rPr>
          <w:spacing w:val="-1"/>
        </w:rPr>
        <w:t>that</w:t>
      </w:r>
      <w:r>
        <w:rPr>
          <w:spacing w:val="2"/>
        </w:rPr>
        <w:t xml:space="preserve"> </w:t>
      </w:r>
      <w:r>
        <w:rPr>
          <w:spacing w:val="-1"/>
        </w:rPr>
        <w:t>demonstrate</w:t>
      </w:r>
      <w:r>
        <w:rPr>
          <w:spacing w:val="-2"/>
        </w:rPr>
        <w:t xml:space="preserve"> </w:t>
      </w:r>
      <w:r>
        <w:rPr>
          <w:spacing w:val="-1"/>
        </w:rPr>
        <w:t>system</w:t>
      </w:r>
      <w:r>
        <w:rPr>
          <w:spacing w:val="1"/>
        </w:rPr>
        <w:t xml:space="preserve"> </w:t>
      </w:r>
      <w:r>
        <w:rPr>
          <w:spacing w:val="-1"/>
        </w:rPr>
        <w:t>success</w:t>
      </w:r>
      <w:r>
        <w:rPr>
          <w:spacing w:val="1"/>
        </w:rPr>
        <w:t xml:space="preserve"> </w:t>
      </w:r>
      <w:r>
        <w:t>or</w:t>
      </w:r>
      <w:r>
        <w:rPr>
          <w:spacing w:val="-4"/>
        </w:rPr>
        <w:t xml:space="preserve"> </w:t>
      </w:r>
      <w:r>
        <w:rPr>
          <w:spacing w:val="-1"/>
        </w:rPr>
        <w:t>failure.</w:t>
      </w:r>
    </w:p>
    <w:p w:rsidR="00DD5B3D" w:rsidRPr="00B62AAD" w:rsidRDefault="00DD5B3D" w:rsidP="00DD5B3D">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DD5B3D" w:rsidTr="0050185A">
        <w:trPr>
          <w:tblHeader/>
        </w:trPr>
        <w:tc>
          <w:tcPr>
            <w:tcW w:w="9350" w:type="dxa"/>
          </w:tcPr>
          <w:p w:rsidR="00DD5B3D" w:rsidRDefault="00DD5B3D" w:rsidP="006C407B">
            <w:pPr>
              <w:spacing w:before="120"/>
            </w:pPr>
          </w:p>
        </w:tc>
      </w:tr>
      <w:tr w:rsidR="00E85355" w:rsidTr="006C407B">
        <w:tc>
          <w:tcPr>
            <w:tcW w:w="9350" w:type="dxa"/>
          </w:tcPr>
          <w:p w:rsidR="00E85355" w:rsidRDefault="00E85355" w:rsidP="006C407B">
            <w:pPr>
              <w:spacing w:before="120"/>
            </w:pPr>
          </w:p>
        </w:tc>
      </w:tr>
      <w:tr w:rsidR="00E85355" w:rsidTr="0050185A">
        <w:tc>
          <w:tcPr>
            <w:tcW w:w="9350" w:type="dxa"/>
            <w:tcBorders>
              <w:bottom w:val="single" w:sz="4" w:space="0" w:color="auto"/>
            </w:tcBorders>
          </w:tcPr>
          <w:p w:rsidR="00E85355" w:rsidRDefault="00E85355" w:rsidP="006C407B">
            <w:pPr>
              <w:spacing w:before="120"/>
            </w:pPr>
          </w:p>
        </w:tc>
      </w:tr>
      <w:tr w:rsidR="00E85355" w:rsidTr="0050185A">
        <w:tc>
          <w:tcPr>
            <w:tcW w:w="9350" w:type="dxa"/>
            <w:tcBorders>
              <w:top w:val="single" w:sz="4" w:space="0" w:color="auto"/>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bl>
    <w:p w:rsidR="00DD5B3D" w:rsidRDefault="00B1368C" w:rsidP="005278E1">
      <w:pPr>
        <w:pStyle w:val="Heading2"/>
        <w:numPr>
          <w:ilvl w:val="1"/>
          <w:numId w:val="2"/>
        </w:numPr>
        <w:spacing w:before="360"/>
        <w:ind w:left="720"/>
      </w:pPr>
      <w:r>
        <w:t>Entry-Level</w:t>
      </w:r>
      <w:r w:rsidR="00DD5B3D">
        <w:t xml:space="preserve"> Performance Outcomes</w:t>
      </w:r>
    </w:p>
    <w:p w:rsidR="006B046C" w:rsidRDefault="006B046C" w:rsidP="006B046C">
      <w:pPr>
        <w:spacing w:after="0"/>
        <w:ind w:left="720" w:hanging="720"/>
      </w:pPr>
      <w:r>
        <w:t>3.1.1.</w:t>
      </w:r>
      <w:r>
        <w:tab/>
        <w:t>Recognize the importance of test and evaluation to acquisition decisions.</w:t>
      </w:r>
    </w:p>
    <w:p w:rsidR="006B046C" w:rsidRDefault="006B046C" w:rsidP="006B046C">
      <w:pPr>
        <w:spacing w:after="0"/>
        <w:ind w:left="720" w:hanging="720"/>
      </w:pPr>
      <w:r>
        <w:t>3.1.2.</w:t>
      </w:r>
      <w:r>
        <w:tab/>
        <w:t>Explain efficient and cost effective methods for planning, monitoring, conducting, and evaluating tests of developmental, commercial or modified systems.</w:t>
      </w:r>
    </w:p>
    <w:p w:rsidR="006B046C" w:rsidRDefault="006B046C" w:rsidP="006B046C">
      <w:pPr>
        <w:spacing w:after="0"/>
        <w:ind w:left="720" w:hanging="720"/>
      </w:pPr>
      <w:r>
        <w:t>3.1.3.</w:t>
      </w:r>
      <w:r>
        <w:tab/>
      </w:r>
      <w:r>
        <w:t>Identify</w:t>
      </w:r>
      <w:r>
        <w:t xml:space="preserve"> the role that T&amp;E plays in the systems engineering process.</w:t>
      </w:r>
    </w:p>
    <w:p w:rsidR="006B046C" w:rsidRDefault="006B046C" w:rsidP="006B046C">
      <w:pPr>
        <w:spacing w:after="0"/>
        <w:ind w:left="720" w:hanging="720"/>
      </w:pPr>
      <w:r>
        <w:t>3.1.4.</w:t>
      </w:r>
      <w:r>
        <w:tab/>
        <w:t>Define and determine the need for a comprehensive test and evaluation approach, including the use of modeling and simulation.</w:t>
      </w:r>
    </w:p>
    <w:p w:rsidR="006B046C" w:rsidRDefault="006B046C" w:rsidP="006B046C">
      <w:pPr>
        <w:spacing w:after="0"/>
        <w:ind w:left="720" w:hanging="720"/>
      </w:pPr>
      <w:r>
        <w:t>3.1.5.</w:t>
      </w:r>
      <w:r>
        <w:tab/>
        <w:t>Explain the value of a comprehensive and documented test and evaluation strategy and how this strategy evolves into test and evaluation plans, such as a Test and Evaluation Master Plan (TEMP).</w:t>
      </w:r>
    </w:p>
    <w:p w:rsidR="005278E1" w:rsidRDefault="006B046C" w:rsidP="006B046C">
      <w:pPr>
        <w:spacing w:after="0"/>
        <w:ind w:left="720" w:hanging="720"/>
      </w:pPr>
      <w:r>
        <w:t>3.1.6.</w:t>
      </w:r>
      <w:r>
        <w:tab/>
        <w:t>Discuss various Federal agency processes for conducting test and evaluation, including the need to conduct user testing or operational test and evaluation (OT&amp;E</w:t>
      </w:r>
      <w:r>
        <w:t>).</w:t>
      </w:r>
    </w:p>
    <w:p w:rsidR="0050185A" w:rsidRDefault="0050185A">
      <w:r>
        <w:br w:type="page"/>
      </w:r>
    </w:p>
    <w:p w:rsidR="0050185A" w:rsidRPr="003C7D77" w:rsidRDefault="0050185A" w:rsidP="0050185A">
      <w:pPr>
        <w:pStyle w:val="Heading1"/>
        <w:numPr>
          <w:ilvl w:val="0"/>
          <w:numId w:val="2"/>
        </w:numPr>
        <w:rPr>
          <w:rStyle w:val="Strong"/>
          <w:b/>
        </w:rPr>
      </w:pPr>
      <w:r>
        <w:rPr>
          <w:rStyle w:val="Strong"/>
          <w:b/>
          <w:smallCaps/>
          <w:u w:val="none"/>
        </w:rPr>
        <w:lastRenderedPageBreak/>
        <w:t>Life Cycle Logistics</w:t>
      </w:r>
    </w:p>
    <w:p w:rsidR="0050185A" w:rsidRDefault="0050185A" w:rsidP="0050185A">
      <w:pPr>
        <w:ind w:left="720"/>
      </w:pPr>
      <w:r>
        <w:t xml:space="preserve">The </w:t>
      </w:r>
      <w:r>
        <w:rPr>
          <w:spacing w:val="-1"/>
        </w:rPr>
        <w:t>planning, development,</w:t>
      </w:r>
      <w:r>
        <w:rPr>
          <w:spacing w:val="2"/>
        </w:rPr>
        <w:t xml:space="preserve"> </w:t>
      </w:r>
      <w:r>
        <w:rPr>
          <w:spacing w:val="-1"/>
        </w:rPr>
        <w:t>implementation,</w:t>
      </w:r>
      <w:r>
        <w:rPr>
          <w:spacing w:val="2"/>
        </w:rPr>
        <w:t xml:space="preserve"> </w:t>
      </w:r>
      <w:r>
        <w:rPr>
          <w:spacing w:val="-1"/>
        </w:rPr>
        <w:t>and</w:t>
      </w:r>
      <w:r>
        <w:rPr>
          <w:spacing w:val="30"/>
        </w:rPr>
        <w:t xml:space="preserve"> </w:t>
      </w:r>
      <w:r>
        <w:rPr>
          <w:spacing w:val="-1"/>
        </w:rPr>
        <w:t>management</w:t>
      </w:r>
      <w:r>
        <w:rPr>
          <w:spacing w:val="2"/>
        </w:rPr>
        <w:t xml:space="preserve"> </w:t>
      </w:r>
      <w:r>
        <w:rPr>
          <w:spacing w:val="-2"/>
        </w:rPr>
        <w:t>of</w:t>
      </w:r>
      <w:r>
        <w:rPr>
          <w:spacing w:val="-1"/>
        </w:rPr>
        <w:t xml:space="preserve"> </w:t>
      </w:r>
      <w:r>
        <w:t xml:space="preserve">a </w:t>
      </w:r>
      <w:r>
        <w:rPr>
          <w:spacing w:val="-1"/>
        </w:rPr>
        <w:t>comprehensive,</w:t>
      </w:r>
      <w:r>
        <w:rPr>
          <w:spacing w:val="1"/>
        </w:rPr>
        <w:t xml:space="preserve"> </w:t>
      </w:r>
      <w:r>
        <w:rPr>
          <w:spacing w:val="-1"/>
        </w:rPr>
        <w:t>affordable,</w:t>
      </w:r>
      <w:r>
        <w:rPr>
          <w:spacing w:val="1"/>
        </w:rPr>
        <w:t xml:space="preserve"> </w:t>
      </w:r>
      <w:r>
        <w:rPr>
          <w:spacing w:val="-2"/>
        </w:rPr>
        <w:t>and</w:t>
      </w:r>
      <w:r>
        <w:t xml:space="preserve"> </w:t>
      </w:r>
      <w:r>
        <w:rPr>
          <w:spacing w:val="-1"/>
        </w:rPr>
        <w:t>effective</w:t>
      </w:r>
      <w:r>
        <w:t xml:space="preserve"> </w:t>
      </w:r>
      <w:r>
        <w:rPr>
          <w:spacing w:val="-1"/>
        </w:rPr>
        <w:t>systems</w:t>
      </w:r>
      <w:r>
        <w:rPr>
          <w:spacing w:val="1"/>
        </w:rPr>
        <w:t xml:space="preserve"> </w:t>
      </w:r>
      <w:r>
        <w:rPr>
          <w:spacing w:val="-1"/>
        </w:rPr>
        <w:t>support</w:t>
      </w:r>
      <w:r>
        <w:t xml:space="preserve"> </w:t>
      </w:r>
      <w:r>
        <w:rPr>
          <w:spacing w:val="-1"/>
        </w:rPr>
        <w:t>strategy. Life</w:t>
      </w:r>
      <w:r>
        <w:rPr>
          <w:spacing w:val="57"/>
        </w:rPr>
        <w:t xml:space="preserve"> </w:t>
      </w:r>
      <w:r>
        <w:rPr>
          <w:spacing w:val="-1"/>
        </w:rPr>
        <w:t>cycle</w:t>
      </w:r>
      <w:r>
        <w:t xml:space="preserve"> </w:t>
      </w:r>
      <w:r>
        <w:rPr>
          <w:spacing w:val="-1"/>
        </w:rPr>
        <w:t>logistics</w:t>
      </w:r>
      <w:r>
        <w:rPr>
          <w:spacing w:val="1"/>
        </w:rPr>
        <w:t xml:space="preserve"> </w:t>
      </w:r>
      <w:r>
        <w:rPr>
          <w:spacing w:val="-1"/>
        </w:rPr>
        <w:t>encompasses</w:t>
      </w:r>
      <w:r>
        <w:t xml:space="preserve"> the</w:t>
      </w:r>
      <w:r>
        <w:rPr>
          <w:spacing w:val="-2"/>
        </w:rPr>
        <w:t xml:space="preserve"> </w:t>
      </w:r>
      <w:r>
        <w:rPr>
          <w:spacing w:val="-1"/>
        </w:rPr>
        <w:t>entire</w:t>
      </w:r>
      <w:r>
        <w:t xml:space="preserve"> </w:t>
      </w:r>
      <w:r>
        <w:rPr>
          <w:spacing w:val="-1"/>
        </w:rPr>
        <w:t>system’s</w:t>
      </w:r>
      <w:r>
        <w:rPr>
          <w:spacing w:val="1"/>
        </w:rPr>
        <w:t xml:space="preserve"> </w:t>
      </w:r>
      <w:r>
        <w:rPr>
          <w:spacing w:val="-1"/>
        </w:rPr>
        <w:t>life</w:t>
      </w:r>
      <w:r>
        <w:t xml:space="preserve"> </w:t>
      </w:r>
      <w:r>
        <w:rPr>
          <w:spacing w:val="-1"/>
        </w:rPr>
        <w:t>cycle</w:t>
      </w:r>
      <w:r>
        <w:t xml:space="preserve"> </w:t>
      </w:r>
      <w:r>
        <w:rPr>
          <w:spacing w:val="-1"/>
        </w:rPr>
        <w:t>including</w:t>
      </w:r>
      <w:r>
        <w:rPr>
          <w:spacing w:val="6"/>
        </w:rPr>
        <w:t xml:space="preserve"> </w:t>
      </w:r>
      <w:r>
        <w:rPr>
          <w:spacing w:val="-1"/>
        </w:rPr>
        <w:t>acquisition</w:t>
      </w:r>
      <w:r>
        <w:t xml:space="preserve"> </w:t>
      </w:r>
      <w:r>
        <w:rPr>
          <w:spacing w:val="-1"/>
        </w:rPr>
        <w:t>(design,</w:t>
      </w:r>
      <w:r>
        <w:rPr>
          <w:spacing w:val="31"/>
        </w:rPr>
        <w:t xml:space="preserve"> </w:t>
      </w:r>
      <w:r>
        <w:rPr>
          <w:spacing w:val="-1"/>
        </w:rPr>
        <w:t>develop,</w:t>
      </w:r>
      <w:r>
        <w:rPr>
          <w:spacing w:val="2"/>
        </w:rPr>
        <w:t xml:space="preserve"> </w:t>
      </w:r>
      <w:r>
        <w:rPr>
          <w:spacing w:val="-1"/>
        </w:rPr>
        <w:t>test,</w:t>
      </w:r>
      <w:r>
        <w:rPr>
          <w:spacing w:val="2"/>
        </w:rPr>
        <w:t xml:space="preserve"> </w:t>
      </w:r>
      <w:r>
        <w:rPr>
          <w:spacing w:val="-1"/>
        </w:rPr>
        <w:t>produce</w:t>
      </w:r>
      <w:r>
        <w:t xml:space="preserve"> </w:t>
      </w:r>
      <w:r>
        <w:rPr>
          <w:spacing w:val="-1"/>
        </w:rPr>
        <w:t>and</w:t>
      </w:r>
      <w:r>
        <w:t xml:space="preserve"> </w:t>
      </w:r>
      <w:r>
        <w:rPr>
          <w:spacing w:val="-1"/>
        </w:rPr>
        <w:t>deploy),</w:t>
      </w:r>
      <w:r>
        <w:rPr>
          <w:spacing w:val="2"/>
        </w:rPr>
        <w:t xml:space="preserve"> </w:t>
      </w:r>
      <w:r>
        <w:rPr>
          <w:spacing w:val="-1"/>
        </w:rPr>
        <w:t>sustainment (operations</w:t>
      </w:r>
      <w:r>
        <w:rPr>
          <w:spacing w:val="1"/>
        </w:rPr>
        <w:t xml:space="preserve"> </w:t>
      </w:r>
      <w:r>
        <w:rPr>
          <w:spacing w:val="-1"/>
        </w:rPr>
        <w:t>and</w:t>
      </w:r>
      <w:r>
        <w:rPr>
          <w:spacing w:val="-2"/>
        </w:rPr>
        <w:t xml:space="preserve"> </w:t>
      </w:r>
      <w:r>
        <w:rPr>
          <w:spacing w:val="-1"/>
        </w:rPr>
        <w:t>support),</w:t>
      </w:r>
      <w:r>
        <w:rPr>
          <w:spacing w:val="2"/>
        </w:rPr>
        <w:t xml:space="preserve"> </w:t>
      </w:r>
      <w:r>
        <w:rPr>
          <w:spacing w:val="-1"/>
        </w:rPr>
        <w:t>and</w:t>
      </w:r>
      <w:r>
        <w:rPr>
          <w:spacing w:val="-2"/>
        </w:rPr>
        <w:t xml:space="preserve"> </w:t>
      </w:r>
      <w:r>
        <w:rPr>
          <w:spacing w:val="-1"/>
        </w:rPr>
        <w:t>disposal.</w:t>
      </w:r>
      <w:r>
        <w:rPr>
          <w:spacing w:val="6"/>
        </w:rPr>
        <w:t xml:space="preserve"> </w:t>
      </w:r>
      <w:r>
        <w:rPr>
          <w:spacing w:val="-1"/>
        </w:rPr>
        <w:t>Life</w:t>
      </w:r>
      <w:r>
        <w:rPr>
          <w:spacing w:val="55"/>
        </w:rPr>
        <w:t xml:space="preserve"> </w:t>
      </w:r>
      <w:r>
        <w:rPr>
          <w:spacing w:val="-1"/>
        </w:rPr>
        <w:t>cycle</w:t>
      </w:r>
      <w:r>
        <w:t xml:space="preserve"> </w:t>
      </w:r>
      <w:r>
        <w:rPr>
          <w:spacing w:val="-1"/>
        </w:rPr>
        <w:t>logistics translates</w:t>
      </w:r>
      <w:r>
        <w:rPr>
          <w:spacing w:val="-2"/>
        </w:rPr>
        <w:t xml:space="preserve"> </w:t>
      </w:r>
      <w:r>
        <w:rPr>
          <w:spacing w:val="-1"/>
        </w:rPr>
        <w:t>performance</w:t>
      </w:r>
      <w:r>
        <w:rPr>
          <w:spacing w:val="-2"/>
        </w:rPr>
        <w:t xml:space="preserve"> </w:t>
      </w:r>
      <w:r>
        <w:rPr>
          <w:spacing w:val="-1"/>
        </w:rPr>
        <w:t>specifications</w:t>
      </w:r>
      <w:r>
        <w:rPr>
          <w:spacing w:val="-2"/>
        </w:rPr>
        <w:t xml:space="preserve"> </w:t>
      </w:r>
      <w:r>
        <w:t>for</w:t>
      </w:r>
      <w:r>
        <w:rPr>
          <w:spacing w:val="1"/>
        </w:rPr>
        <w:t xml:space="preserve"> </w:t>
      </w:r>
      <w:r>
        <w:rPr>
          <w:spacing w:val="-1"/>
        </w:rPr>
        <w:t>availability</w:t>
      </w:r>
      <w:r>
        <w:rPr>
          <w:spacing w:val="-2"/>
        </w:rPr>
        <w:t xml:space="preserve"> </w:t>
      </w:r>
      <w:r>
        <w:rPr>
          <w:spacing w:val="-1"/>
        </w:rPr>
        <w:t>and</w:t>
      </w:r>
      <w:r>
        <w:t xml:space="preserve"> </w:t>
      </w:r>
      <w:r>
        <w:rPr>
          <w:spacing w:val="-1"/>
        </w:rPr>
        <w:t>readiness</w:t>
      </w:r>
      <w:r>
        <w:rPr>
          <w:spacing w:val="1"/>
        </w:rPr>
        <w:t xml:space="preserve"> </w:t>
      </w:r>
      <w:r>
        <w:rPr>
          <w:spacing w:val="-1"/>
        </w:rPr>
        <w:t>into</w:t>
      </w:r>
      <w:r>
        <w:rPr>
          <w:spacing w:val="57"/>
        </w:rPr>
        <w:t xml:space="preserve"> </w:t>
      </w:r>
      <w:r>
        <w:rPr>
          <w:spacing w:val="-1"/>
        </w:rPr>
        <w:t>tailored</w:t>
      </w:r>
      <w:r>
        <w:t xml:space="preserve"> </w:t>
      </w:r>
      <w:r>
        <w:rPr>
          <w:spacing w:val="-1"/>
        </w:rPr>
        <w:t>product support.</w:t>
      </w:r>
    </w:p>
    <w:p w:rsidR="0050185A" w:rsidRPr="00B62AAD" w:rsidRDefault="0050185A" w:rsidP="0050185A">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50185A" w:rsidTr="0050185A">
        <w:trPr>
          <w:tblHeader/>
        </w:trPr>
        <w:tc>
          <w:tcPr>
            <w:tcW w:w="9350" w:type="dxa"/>
          </w:tcPr>
          <w:p w:rsidR="0050185A" w:rsidRDefault="0050185A" w:rsidP="005C2580">
            <w:pPr>
              <w:spacing w:before="120"/>
            </w:pPr>
          </w:p>
        </w:tc>
      </w:tr>
      <w:tr w:rsidR="0050185A" w:rsidTr="005C2580">
        <w:tc>
          <w:tcPr>
            <w:tcW w:w="9350" w:type="dxa"/>
          </w:tcPr>
          <w:p w:rsidR="0050185A" w:rsidRDefault="0050185A" w:rsidP="005C2580">
            <w:pPr>
              <w:spacing w:before="120"/>
            </w:pPr>
          </w:p>
        </w:tc>
      </w:tr>
      <w:tr w:rsidR="0050185A" w:rsidTr="005C2580">
        <w:tc>
          <w:tcPr>
            <w:tcW w:w="9350" w:type="dxa"/>
            <w:tcBorders>
              <w:bottom w:val="single" w:sz="4" w:space="0" w:color="auto"/>
            </w:tcBorders>
          </w:tcPr>
          <w:p w:rsidR="0050185A" w:rsidRDefault="0050185A" w:rsidP="005C2580">
            <w:pPr>
              <w:spacing w:before="120"/>
            </w:pPr>
          </w:p>
        </w:tc>
      </w:tr>
      <w:tr w:rsidR="0050185A" w:rsidTr="005C2580">
        <w:tc>
          <w:tcPr>
            <w:tcW w:w="9350" w:type="dxa"/>
            <w:tcBorders>
              <w:top w:val="single" w:sz="4" w:space="0" w:color="auto"/>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bl>
    <w:p w:rsidR="00DD5B3D" w:rsidRPr="0050185A" w:rsidRDefault="0050185A" w:rsidP="0050185A">
      <w:pPr>
        <w:pStyle w:val="Heading2"/>
      </w:pPr>
      <w:r w:rsidRPr="000D7D4A">
        <w:rPr>
          <w:u w:val="none"/>
        </w:rPr>
        <w:t>4.</w:t>
      </w:r>
      <w:r w:rsidR="009D3997">
        <w:rPr>
          <w:u w:val="none"/>
        </w:rPr>
        <w:t>1</w:t>
      </w:r>
      <w:r w:rsidR="009D3997">
        <w:rPr>
          <w:u w:val="none"/>
        </w:rPr>
        <w:tab/>
      </w:r>
      <w:r w:rsidR="009D3997">
        <w:t>Entry</w:t>
      </w:r>
      <w:r w:rsidRPr="0050185A">
        <w:t xml:space="preserve"> Level Performance Outcomes</w:t>
      </w:r>
    </w:p>
    <w:p w:rsidR="009D3997" w:rsidRDefault="009D3997" w:rsidP="009D3997">
      <w:pPr>
        <w:spacing w:after="0"/>
        <w:ind w:left="720" w:hanging="720"/>
      </w:pPr>
      <w:r>
        <w:t>4.1.1.</w:t>
      </w:r>
      <w:r>
        <w:tab/>
        <w:t>Express understanding of the concept of integrated product support, the product support elements and purpose of a product support plan.</w:t>
      </w:r>
    </w:p>
    <w:p w:rsidR="009D3997" w:rsidRDefault="009D3997" w:rsidP="009D3997">
      <w:pPr>
        <w:spacing w:after="0"/>
        <w:ind w:left="720" w:hanging="720"/>
      </w:pPr>
      <w:r>
        <w:t>4.1.2.</w:t>
      </w:r>
      <w:r>
        <w:tab/>
        <w:t>Comprehend performance-based logistic efforts that optimize total life cycle costs while maintaining system readiness.</w:t>
      </w:r>
    </w:p>
    <w:p w:rsidR="009D3997" w:rsidRDefault="009D3997" w:rsidP="009D3997">
      <w:pPr>
        <w:spacing w:after="0"/>
        <w:ind w:left="720" w:hanging="720"/>
      </w:pPr>
      <w:r>
        <w:t>4.1.3.</w:t>
      </w:r>
      <w:r>
        <w:tab/>
        <w:t>Recognize alternative logistics support practices, including supply chain management, best public sector and commercial practices and technology solutions, and their utility and appropriateness according to the type and scope of the acquisition program.</w:t>
      </w:r>
    </w:p>
    <w:p w:rsidR="009D3997" w:rsidRDefault="009D3997" w:rsidP="009D3997">
      <w:pPr>
        <w:spacing w:after="0"/>
        <w:ind w:left="720" w:hanging="720"/>
      </w:pPr>
      <w:r>
        <w:t>4.1.4.</w:t>
      </w:r>
      <w:r>
        <w:tab/>
        <w:t>Comprehend the concepts of availability, supportability, and reliability/maintainability while minimizing cost, the logistic footprint, and interoperability.</w:t>
      </w:r>
    </w:p>
    <w:p w:rsidR="009D3997" w:rsidRDefault="009D3997" w:rsidP="009D3997">
      <w:pPr>
        <w:spacing w:after="0"/>
        <w:ind w:left="720" w:hanging="720"/>
      </w:pPr>
      <w:r>
        <w:t>4.1.5.</w:t>
      </w:r>
      <w:r>
        <w:tab/>
        <w:t>Define interoperability as a key product support factor, along with examples of interoperability application.</w:t>
      </w:r>
    </w:p>
    <w:p w:rsidR="009D3997" w:rsidRDefault="009D3997" w:rsidP="009D3997">
      <w:pPr>
        <w:spacing w:after="0"/>
        <w:ind w:left="720" w:hanging="720"/>
      </w:pPr>
      <w:r>
        <w:t>4.1.6.</w:t>
      </w:r>
      <w:r>
        <w:tab/>
        <w:t>Assist in implementation of alternative logistics support practices.</w:t>
      </w:r>
    </w:p>
    <w:p w:rsidR="009D3997" w:rsidRDefault="009D3997" w:rsidP="009D3997">
      <w:pPr>
        <w:spacing w:after="0"/>
        <w:ind w:left="720" w:hanging="720"/>
      </w:pPr>
      <w:r>
        <w:t>4.1.7.</w:t>
      </w:r>
      <w:r>
        <w:tab/>
        <w:t>Recognize the importance of planning for the deployment of a new system or project</w:t>
      </w:r>
      <w:r>
        <w:t>.</w:t>
      </w:r>
    </w:p>
    <w:p w:rsidR="0050185A" w:rsidRPr="003C7D77" w:rsidRDefault="0050185A" w:rsidP="0050185A">
      <w:pPr>
        <w:pStyle w:val="Heading1"/>
        <w:numPr>
          <w:ilvl w:val="0"/>
          <w:numId w:val="2"/>
        </w:numPr>
        <w:rPr>
          <w:rStyle w:val="Strong"/>
          <w:b/>
        </w:rPr>
      </w:pPr>
      <w:r>
        <w:rPr>
          <w:rStyle w:val="Strong"/>
          <w:b/>
          <w:smallCaps/>
          <w:u w:val="none"/>
        </w:rPr>
        <w:lastRenderedPageBreak/>
        <w:t>Contracting</w:t>
      </w:r>
    </w:p>
    <w:p w:rsidR="0050185A" w:rsidRDefault="0050185A" w:rsidP="0050185A">
      <w:pPr>
        <w:ind w:left="720"/>
      </w:pPr>
      <w:r w:rsidRPr="0050185A">
        <w:t>Knowledge of the supervision, leadership and management processes and procedures involving the procurement of capital assets, supplies and services, including construction, research and development, and science and engineering technical services as governed by the Federal Acquisition Regulation (FAR) and associated agency-specific additions to the FAR.  Contracting involves acquisition planning to include: performance- based considerations; cost and price analysis; solicitation and selection of sources; preparation, negotiation and award of contracts; all phases of contract administration; termination options and processes for closeout of contracts; and legislation, policies, regulations, methods used and business and industry practices</w:t>
      </w:r>
      <w:r>
        <w:rPr>
          <w:spacing w:val="-1"/>
        </w:rPr>
        <w:t>.</w:t>
      </w:r>
    </w:p>
    <w:p w:rsidR="0050185A" w:rsidRPr="00B62AAD" w:rsidRDefault="0050185A" w:rsidP="0050185A">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50185A" w:rsidTr="005C2580">
        <w:trPr>
          <w:tblHeader/>
        </w:trPr>
        <w:tc>
          <w:tcPr>
            <w:tcW w:w="9350" w:type="dxa"/>
          </w:tcPr>
          <w:p w:rsidR="0050185A" w:rsidRDefault="0050185A" w:rsidP="005C2580">
            <w:pPr>
              <w:spacing w:before="120"/>
            </w:pPr>
          </w:p>
        </w:tc>
      </w:tr>
      <w:tr w:rsidR="0050185A" w:rsidTr="005C2580">
        <w:tc>
          <w:tcPr>
            <w:tcW w:w="9350" w:type="dxa"/>
          </w:tcPr>
          <w:p w:rsidR="0050185A" w:rsidRDefault="0050185A" w:rsidP="005C2580">
            <w:pPr>
              <w:spacing w:before="120"/>
            </w:pPr>
          </w:p>
        </w:tc>
      </w:tr>
      <w:tr w:rsidR="0050185A" w:rsidTr="000D7D4A">
        <w:tc>
          <w:tcPr>
            <w:tcW w:w="9350" w:type="dxa"/>
            <w:tcBorders>
              <w:bottom w:val="single" w:sz="4" w:space="0" w:color="auto"/>
            </w:tcBorders>
          </w:tcPr>
          <w:p w:rsidR="0050185A" w:rsidRDefault="0050185A" w:rsidP="005C2580">
            <w:pPr>
              <w:spacing w:before="120"/>
            </w:pPr>
          </w:p>
        </w:tc>
      </w:tr>
      <w:tr w:rsidR="000D7D4A" w:rsidTr="000D7D4A">
        <w:tc>
          <w:tcPr>
            <w:tcW w:w="9350" w:type="dxa"/>
            <w:tcBorders>
              <w:top w:val="single" w:sz="4" w:space="0" w:color="auto"/>
              <w:bottom w:val="nil"/>
            </w:tcBorders>
          </w:tcPr>
          <w:p w:rsidR="000D7D4A" w:rsidRDefault="000D7D4A" w:rsidP="005C2580">
            <w:pPr>
              <w:spacing w:before="120"/>
            </w:pPr>
          </w:p>
        </w:tc>
      </w:tr>
      <w:tr w:rsidR="000D7D4A" w:rsidTr="000D7D4A">
        <w:tc>
          <w:tcPr>
            <w:tcW w:w="9350" w:type="dxa"/>
            <w:tcBorders>
              <w:top w:val="nil"/>
              <w:bottom w:val="nil"/>
            </w:tcBorders>
          </w:tcPr>
          <w:p w:rsidR="000D7D4A" w:rsidRDefault="000D7D4A" w:rsidP="005C2580">
            <w:pPr>
              <w:spacing w:before="120"/>
            </w:pPr>
          </w:p>
        </w:tc>
      </w:tr>
      <w:tr w:rsidR="000D7D4A" w:rsidTr="000D7D4A">
        <w:tc>
          <w:tcPr>
            <w:tcW w:w="9350" w:type="dxa"/>
            <w:tcBorders>
              <w:top w:val="nil"/>
              <w:bottom w:val="nil"/>
            </w:tcBorders>
          </w:tcPr>
          <w:p w:rsidR="000D7D4A" w:rsidRDefault="000D7D4A" w:rsidP="005C2580">
            <w:pPr>
              <w:spacing w:before="120"/>
            </w:pPr>
          </w:p>
        </w:tc>
      </w:tr>
      <w:tr w:rsidR="000D7D4A" w:rsidTr="000D7D4A">
        <w:tc>
          <w:tcPr>
            <w:tcW w:w="9350" w:type="dxa"/>
            <w:tcBorders>
              <w:top w:val="nil"/>
              <w:bottom w:val="nil"/>
            </w:tcBorders>
          </w:tcPr>
          <w:p w:rsidR="000D7D4A" w:rsidRDefault="000D7D4A" w:rsidP="005C2580">
            <w:pPr>
              <w:spacing w:before="120"/>
            </w:pPr>
          </w:p>
        </w:tc>
      </w:tr>
      <w:tr w:rsidR="000D7D4A" w:rsidTr="000D7D4A">
        <w:tc>
          <w:tcPr>
            <w:tcW w:w="9350" w:type="dxa"/>
            <w:tcBorders>
              <w:top w:val="nil"/>
              <w:bottom w:val="nil"/>
            </w:tcBorders>
          </w:tcPr>
          <w:p w:rsidR="000D7D4A" w:rsidRDefault="000D7D4A" w:rsidP="005C2580">
            <w:pPr>
              <w:spacing w:before="120"/>
            </w:pPr>
          </w:p>
        </w:tc>
      </w:tr>
      <w:tr w:rsidR="000D7D4A" w:rsidTr="000D7D4A">
        <w:tc>
          <w:tcPr>
            <w:tcW w:w="9350" w:type="dxa"/>
            <w:tcBorders>
              <w:top w:val="nil"/>
              <w:bottom w:val="nil"/>
            </w:tcBorders>
          </w:tcPr>
          <w:p w:rsidR="000D7D4A" w:rsidRDefault="000D7D4A" w:rsidP="005C2580">
            <w:pPr>
              <w:spacing w:before="120"/>
            </w:pPr>
          </w:p>
        </w:tc>
      </w:tr>
    </w:tbl>
    <w:p w:rsidR="0050185A" w:rsidRDefault="003E62D9" w:rsidP="000D7D4A">
      <w:pPr>
        <w:pStyle w:val="Heading2"/>
        <w:spacing w:before="360"/>
      </w:pPr>
      <w:r>
        <w:rPr>
          <w:u w:val="none"/>
        </w:rPr>
        <w:t>5.1</w:t>
      </w:r>
      <w:r w:rsidR="0050185A" w:rsidRPr="000D7D4A">
        <w:rPr>
          <w:u w:val="none"/>
        </w:rPr>
        <w:tab/>
      </w:r>
      <w:r w:rsidR="00B1368C">
        <w:t>Entry-Level</w:t>
      </w:r>
      <w:r w:rsidR="0050185A">
        <w:t xml:space="preserve"> Performance Outcomes:</w:t>
      </w:r>
    </w:p>
    <w:p w:rsidR="003E62D9" w:rsidRDefault="003E62D9" w:rsidP="003E62D9">
      <w:pPr>
        <w:spacing w:after="0" w:line="240" w:lineRule="auto"/>
        <w:ind w:left="821" w:hanging="821"/>
      </w:pPr>
      <w:r>
        <w:t>5.1.1.</w:t>
      </w:r>
      <w:r>
        <w:tab/>
        <w:t>Contrast the roles and responsibilities between the contracting officer and the program manager.</w:t>
      </w:r>
    </w:p>
    <w:p w:rsidR="003E62D9" w:rsidRDefault="003E62D9" w:rsidP="003E62D9">
      <w:pPr>
        <w:spacing w:after="0" w:line="240" w:lineRule="auto"/>
        <w:ind w:left="821" w:hanging="821"/>
      </w:pPr>
      <w:r>
        <w:t>5.1.2.</w:t>
      </w:r>
      <w:r>
        <w:tab/>
        <w:t>Recognize the need for a comprehensive program specification and requirements statement that fully and correctly defines the program.</w:t>
      </w:r>
    </w:p>
    <w:p w:rsidR="003E62D9" w:rsidRDefault="003E62D9" w:rsidP="003E62D9">
      <w:pPr>
        <w:spacing w:after="0" w:line="240" w:lineRule="auto"/>
        <w:ind w:left="821" w:hanging="821"/>
      </w:pPr>
      <w:r>
        <w:t>5.1.3.</w:t>
      </w:r>
      <w:r>
        <w:tab/>
        <w:t>Describe pre-award actions and the associated contracting methods required by the Federal Acquisition Regulation (FAR). Recognize the need for the Program Manager to participate in pre-award actions required by acquisition planning (FAR Part 7.1).</w:t>
      </w:r>
    </w:p>
    <w:p w:rsidR="003E62D9" w:rsidRDefault="003E62D9" w:rsidP="003E62D9">
      <w:pPr>
        <w:spacing w:after="0" w:line="240" w:lineRule="auto"/>
        <w:ind w:left="821" w:hanging="821"/>
      </w:pPr>
      <w:r>
        <w:t>5.1.4.</w:t>
      </w:r>
      <w:r>
        <w:tab/>
        <w:t>Recall the formal source selection process, including acquisition planning and pre- solicitation processes; market research; the request for proposal (RFP); evaluation of proposals; and contract award.</w:t>
      </w:r>
    </w:p>
    <w:p w:rsidR="003E62D9" w:rsidRDefault="003E62D9" w:rsidP="003E62D9">
      <w:pPr>
        <w:spacing w:after="0" w:line="240" w:lineRule="auto"/>
        <w:ind w:left="821" w:hanging="821"/>
      </w:pPr>
      <w:r>
        <w:t>5.1.5.</w:t>
      </w:r>
      <w:r>
        <w:tab/>
        <w:t xml:space="preserve">Define the process for developing a comprehensive program specification, Statement </w:t>
      </w:r>
      <w:r>
        <w:t>o</w:t>
      </w:r>
      <w:r>
        <w:t>f Work (SOW), and/or Statement of Objective (SOO) that fully and correctly defines the project, addressing roles and missions of the government and contractor.</w:t>
      </w:r>
    </w:p>
    <w:p w:rsidR="003E62D9" w:rsidRDefault="003E62D9" w:rsidP="003E62D9">
      <w:pPr>
        <w:spacing w:after="0" w:line="240" w:lineRule="auto"/>
        <w:ind w:left="821" w:hanging="821"/>
      </w:pPr>
      <w:r>
        <w:t>5.1.6.</w:t>
      </w:r>
      <w:r>
        <w:tab/>
        <w:t>Recognize the benefits of performance-based acquisition.</w:t>
      </w:r>
    </w:p>
    <w:p w:rsidR="003E62D9" w:rsidRDefault="003E62D9" w:rsidP="003E62D9">
      <w:pPr>
        <w:spacing w:after="0" w:line="240" w:lineRule="auto"/>
        <w:ind w:left="821" w:hanging="821"/>
      </w:pPr>
      <w:r>
        <w:t>5.1.7.</w:t>
      </w:r>
      <w:r>
        <w:tab/>
        <w:t>Recognize the need to formulate a source selection plan that allows for best value</w:t>
      </w:r>
    </w:p>
    <w:p w:rsidR="003E62D9" w:rsidRDefault="003E62D9" w:rsidP="003E62D9">
      <w:pPr>
        <w:spacing w:after="0" w:line="240" w:lineRule="auto"/>
        <w:ind w:left="821" w:hanging="821"/>
      </w:pPr>
      <w:r>
        <w:t>5.1.8.</w:t>
      </w:r>
      <w:r>
        <w:tab/>
        <w:t>Identify key activities in contract administration, including contract modifications and terminations.</w:t>
      </w:r>
    </w:p>
    <w:p w:rsidR="000D7D4A" w:rsidRDefault="003E62D9" w:rsidP="000D7D4A">
      <w:pPr>
        <w:spacing w:after="0" w:line="240" w:lineRule="auto"/>
        <w:ind w:left="821" w:hanging="821"/>
      </w:pPr>
      <w:r>
        <w:t>5.1.9.</w:t>
      </w:r>
      <w:r>
        <w:tab/>
        <w:t>Illustrate the role of the COR during all phases of the contracting process</w:t>
      </w:r>
      <w:r>
        <w:t>.</w:t>
      </w:r>
    </w:p>
    <w:p w:rsidR="000D7D4A" w:rsidRPr="003C7D77" w:rsidRDefault="000D7D4A" w:rsidP="000D7D4A">
      <w:pPr>
        <w:pStyle w:val="Heading1"/>
        <w:numPr>
          <w:ilvl w:val="0"/>
          <w:numId w:val="2"/>
        </w:numPr>
        <w:rPr>
          <w:rStyle w:val="Strong"/>
          <w:b/>
        </w:rPr>
      </w:pPr>
      <w:r>
        <w:rPr>
          <w:rStyle w:val="Strong"/>
          <w:b/>
          <w:smallCaps/>
          <w:u w:val="none"/>
        </w:rPr>
        <w:lastRenderedPageBreak/>
        <w:t>Business, Cost and Financial Management</w:t>
      </w:r>
    </w:p>
    <w:p w:rsidR="000D7D4A" w:rsidRDefault="000D7D4A" w:rsidP="000D7D4A">
      <w:pPr>
        <w:ind w:left="720"/>
      </w:pPr>
      <w:r>
        <w:rPr>
          <w:spacing w:val="-1"/>
        </w:rPr>
        <w:t>Knowledge</w:t>
      </w:r>
      <w:r>
        <w:t xml:space="preserve"> </w:t>
      </w:r>
      <w:r>
        <w:rPr>
          <w:spacing w:val="-2"/>
        </w:rPr>
        <w:t>of</w:t>
      </w:r>
      <w:r>
        <w:rPr>
          <w:spacing w:val="-1"/>
        </w:rPr>
        <w:t xml:space="preserve"> </w:t>
      </w:r>
      <w:r>
        <w:t>the</w:t>
      </w:r>
      <w:r>
        <w:rPr>
          <w:spacing w:val="-2"/>
        </w:rPr>
        <w:t xml:space="preserve"> </w:t>
      </w:r>
      <w:r>
        <w:rPr>
          <w:spacing w:val="-1"/>
        </w:rPr>
        <w:t>forms</w:t>
      </w:r>
      <w:r>
        <w:rPr>
          <w:spacing w:val="-2"/>
        </w:rPr>
        <w:t xml:space="preserve"> of</w:t>
      </w:r>
      <w:r>
        <w:rPr>
          <w:spacing w:val="2"/>
        </w:rPr>
        <w:t xml:space="preserve"> </w:t>
      </w:r>
      <w:r>
        <w:t>cost</w:t>
      </w:r>
      <w:r>
        <w:rPr>
          <w:spacing w:val="45"/>
        </w:rPr>
        <w:t xml:space="preserve"> </w:t>
      </w:r>
      <w:r>
        <w:rPr>
          <w:spacing w:val="-1"/>
        </w:rPr>
        <w:t>estimating,</w:t>
      </w:r>
      <w:r>
        <w:rPr>
          <w:spacing w:val="2"/>
        </w:rPr>
        <w:t xml:space="preserve"> </w:t>
      </w:r>
      <w:r>
        <w:rPr>
          <w:spacing w:val="-1"/>
        </w:rPr>
        <w:t>cost analysis,</w:t>
      </w:r>
      <w:r>
        <w:rPr>
          <w:spacing w:val="2"/>
        </w:rPr>
        <w:t xml:space="preserve"> </w:t>
      </w:r>
      <w:r>
        <w:rPr>
          <w:spacing w:val="-1"/>
        </w:rPr>
        <w:t>reconciliation</w:t>
      </w:r>
      <w:r>
        <w:t xml:space="preserve"> </w:t>
      </w:r>
      <w:r>
        <w:rPr>
          <w:spacing w:val="-2"/>
        </w:rPr>
        <w:t>of</w:t>
      </w:r>
      <w:r>
        <w:rPr>
          <w:spacing w:val="2"/>
        </w:rPr>
        <w:t xml:space="preserve"> </w:t>
      </w:r>
      <w:r>
        <w:rPr>
          <w:spacing w:val="-1"/>
        </w:rPr>
        <w:t>cost estimating,</w:t>
      </w:r>
      <w:r>
        <w:rPr>
          <w:spacing w:val="-3"/>
        </w:rPr>
        <w:t xml:space="preserve"> </w:t>
      </w:r>
      <w:r>
        <w:rPr>
          <w:spacing w:val="-1"/>
        </w:rPr>
        <w:t>government and</w:t>
      </w:r>
      <w:r>
        <w:rPr>
          <w:spacing w:val="-2"/>
        </w:rPr>
        <w:t xml:space="preserve"> </w:t>
      </w:r>
      <w:r>
        <w:rPr>
          <w:spacing w:val="-1"/>
        </w:rPr>
        <w:t>industry</w:t>
      </w:r>
      <w:r>
        <w:rPr>
          <w:spacing w:val="-3"/>
        </w:rPr>
        <w:t xml:space="preserve"> </w:t>
      </w:r>
      <w:r>
        <w:rPr>
          <w:spacing w:val="-1"/>
        </w:rPr>
        <w:t>financial</w:t>
      </w:r>
      <w:r>
        <w:rPr>
          <w:spacing w:val="91"/>
        </w:rPr>
        <w:t xml:space="preserve"> </w:t>
      </w:r>
      <w:r>
        <w:rPr>
          <w:spacing w:val="-1"/>
        </w:rPr>
        <w:t>planning, formulating</w:t>
      </w:r>
      <w:r>
        <w:t xml:space="preserve"> </w:t>
      </w:r>
      <w:r>
        <w:rPr>
          <w:spacing w:val="-1"/>
        </w:rPr>
        <w:t>financial projects</w:t>
      </w:r>
      <w:r>
        <w:rPr>
          <w:spacing w:val="-2"/>
        </w:rPr>
        <w:t xml:space="preserve"> </w:t>
      </w:r>
      <w:r>
        <w:rPr>
          <w:spacing w:val="-1"/>
        </w:rPr>
        <w:t>and</w:t>
      </w:r>
      <w:r>
        <w:t xml:space="preserve"> </w:t>
      </w:r>
      <w:r>
        <w:rPr>
          <w:spacing w:val="-1"/>
        </w:rPr>
        <w:t>budgets, budget analysis/execution, cost-benefit</w:t>
      </w:r>
      <w:r>
        <w:rPr>
          <w:spacing w:val="81"/>
        </w:rPr>
        <w:t xml:space="preserve"> </w:t>
      </w:r>
      <w:r>
        <w:rPr>
          <w:spacing w:val="-1"/>
        </w:rPr>
        <w:t>analysis,</w:t>
      </w:r>
      <w:r>
        <w:rPr>
          <w:spacing w:val="2"/>
        </w:rPr>
        <w:t xml:space="preserve"> </w:t>
      </w:r>
      <w:r>
        <w:rPr>
          <w:spacing w:val="-1"/>
        </w:rPr>
        <w:t>Earned</w:t>
      </w:r>
      <w:r>
        <w:t xml:space="preserve"> </w:t>
      </w:r>
      <w:r>
        <w:rPr>
          <w:spacing w:val="-1"/>
        </w:rPr>
        <w:t>Value</w:t>
      </w:r>
      <w:r>
        <w:rPr>
          <w:spacing w:val="-2"/>
        </w:rPr>
        <w:t xml:space="preserve"> </w:t>
      </w:r>
      <w:r>
        <w:rPr>
          <w:spacing w:val="-1"/>
        </w:rPr>
        <w:t>Management (EVM),</w:t>
      </w:r>
      <w:r>
        <w:rPr>
          <w:spacing w:val="3"/>
        </w:rPr>
        <w:t xml:space="preserve"> </w:t>
      </w:r>
      <w:r>
        <w:rPr>
          <w:spacing w:val="-1"/>
        </w:rPr>
        <w:t>business</w:t>
      </w:r>
      <w:r>
        <w:rPr>
          <w:spacing w:val="1"/>
        </w:rPr>
        <w:t xml:space="preserve"> </w:t>
      </w:r>
      <w:r>
        <w:t xml:space="preserve">case </w:t>
      </w:r>
      <w:r>
        <w:rPr>
          <w:spacing w:val="-1"/>
        </w:rPr>
        <w:t>analysis,</w:t>
      </w:r>
      <w:r>
        <w:rPr>
          <w:spacing w:val="2"/>
        </w:rPr>
        <w:t xml:space="preserve"> </w:t>
      </w:r>
      <w:r>
        <w:rPr>
          <w:spacing w:val="-1"/>
        </w:rPr>
        <w:t>and</w:t>
      </w:r>
      <w:r>
        <w:rPr>
          <w:spacing w:val="-4"/>
        </w:rPr>
        <w:t xml:space="preserve"> </w:t>
      </w:r>
      <w:r>
        <w:t>other</w:t>
      </w:r>
      <w:r>
        <w:rPr>
          <w:spacing w:val="-1"/>
        </w:rPr>
        <w:t xml:space="preserve"> methods</w:t>
      </w:r>
      <w:r>
        <w:rPr>
          <w:spacing w:val="-2"/>
        </w:rPr>
        <w:t xml:space="preserve"> of</w:t>
      </w:r>
      <w:r>
        <w:rPr>
          <w:spacing w:val="45"/>
        </w:rPr>
        <w:t xml:space="preserve"> </w:t>
      </w:r>
      <w:r>
        <w:rPr>
          <w:spacing w:val="-1"/>
        </w:rPr>
        <w:t>performance</w:t>
      </w:r>
      <w:r>
        <w:rPr>
          <w:spacing w:val="-4"/>
        </w:rPr>
        <w:t xml:space="preserve"> </w:t>
      </w:r>
      <w:r>
        <w:rPr>
          <w:spacing w:val="-1"/>
        </w:rPr>
        <w:t>measurement.</w:t>
      </w:r>
    </w:p>
    <w:p w:rsidR="000D7D4A" w:rsidRPr="00B62AAD" w:rsidRDefault="000D7D4A" w:rsidP="000D7D4A">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0D7D4A" w:rsidTr="005C2580">
        <w:trPr>
          <w:tblHeader/>
        </w:trPr>
        <w:tc>
          <w:tcPr>
            <w:tcW w:w="9350" w:type="dxa"/>
          </w:tcPr>
          <w:p w:rsidR="000D7D4A" w:rsidRDefault="000D7D4A" w:rsidP="005C2580">
            <w:pPr>
              <w:spacing w:before="120"/>
            </w:pPr>
          </w:p>
        </w:tc>
      </w:tr>
      <w:tr w:rsidR="000D7D4A" w:rsidTr="005C2580">
        <w:tc>
          <w:tcPr>
            <w:tcW w:w="9350" w:type="dxa"/>
          </w:tcPr>
          <w:p w:rsidR="000D7D4A" w:rsidRDefault="000D7D4A" w:rsidP="005C2580">
            <w:pPr>
              <w:spacing w:before="120"/>
            </w:pPr>
          </w:p>
        </w:tc>
      </w:tr>
      <w:tr w:rsidR="000D7D4A" w:rsidTr="00602FED">
        <w:tc>
          <w:tcPr>
            <w:tcW w:w="9350" w:type="dxa"/>
            <w:tcBorders>
              <w:bottom w:val="single" w:sz="4" w:space="0" w:color="auto"/>
            </w:tcBorders>
          </w:tcPr>
          <w:p w:rsidR="000D7D4A" w:rsidRDefault="000D7D4A" w:rsidP="005C2580">
            <w:pPr>
              <w:spacing w:before="120"/>
            </w:pPr>
          </w:p>
        </w:tc>
      </w:tr>
      <w:tr w:rsidR="00602FED" w:rsidTr="00602FED">
        <w:tc>
          <w:tcPr>
            <w:tcW w:w="9350" w:type="dxa"/>
            <w:tcBorders>
              <w:top w:val="single" w:sz="4" w:space="0" w:color="auto"/>
              <w:bottom w:val="nil"/>
            </w:tcBorders>
          </w:tcPr>
          <w:p w:rsidR="00602FED" w:rsidRDefault="00602FED" w:rsidP="005C2580">
            <w:pPr>
              <w:spacing w:before="120"/>
            </w:pPr>
          </w:p>
        </w:tc>
      </w:tr>
      <w:tr w:rsidR="00602FED" w:rsidTr="00602FED">
        <w:tc>
          <w:tcPr>
            <w:tcW w:w="9350" w:type="dxa"/>
            <w:tcBorders>
              <w:top w:val="nil"/>
              <w:bottom w:val="nil"/>
            </w:tcBorders>
          </w:tcPr>
          <w:p w:rsidR="00602FED" w:rsidRDefault="00602FED" w:rsidP="005C2580">
            <w:pPr>
              <w:spacing w:before="120"/>
            </w:pPr>
          </w:p>
        </w:tc>
      </w:tr>
      <w:tr w:rsidR="00602FED" w:rsidTr="00602FED">
        <w:tc>
          <w:tcPr>
            <w:tcW w:w="9350" w:type="dxa"/>
            <w:tcBorders>
              <w:top w:val="nil"/>
              <w:bottom w:val="nil"/>
            </w:tcBorders>
          </w:tcPr>
          <w:p w:rsidR="00602FED" w:rsidRDefault="00602FED" w:rsidP="005C2580">
            <w:pPr>
              <w:spacing w:before="120"/>
            </w:pPr>
          </w:p>
        </w:tc>
      </w:tr>
      <w:tr w:rsidR="00602FED" w:rsidTr="00602FED">
        <w:tc>
          <w:tcPr>
            <w:tcW w:w="9350" w:type="dxa"/>
            <w:tcBorders>
              <w:top w:val="nil"/>
              <w:bottom w:val="nil"/>
            </w:tcBorders>
          </w:tcPr>
          <w:p w:rsidR="00602FED" w:rsidRDefault="00602FED" w:rsidP="005C2580">
            <w:pPr>
              <w:spacing w:before="120"/>
            </w:pPr>
          </w:p>
        </w:tc>
      </w:tr>
      <w:tr w:rsidR="00602FED" w:rsidTr="00602FED">
        <w:tc>
          <w:tcPr>
            <w:tcW w:w="9350" w:type="dxa"/>
            <w:tcBorders>
              <w:top w:val="nil"/>
              <w:bottom w:val="nil"/>
            </w:tcBorders>
          </w:tcPr>
          <w:p w:rsidR="00602FED" w:rsidRDefault="00602FED" w:rsidP="005C2580">
            <w:pPr>
              <w:spacing w:before="120"/>
            </w:pPr>
          </w:p>
        </w:tc>
      </w:tr>
    </w:tbl>
    <w:p w:rsidR="00602FED" w:rsidRDefault="00602FED" w:rsidP="00602FED">
      <w:pPr>
        <w:pStyle w:val="BodyText"/>
        <w:kinsoku w:val="0"/>
        <w:overflowPunct w:val="0"/>
        <w:spacing w:before="72"/>
        <w:ind w:right="269"/>
        <w:rPr>
          <w:spacing w:val="-1"/>
        </w:rPr>
      </w:pPr>
    </w:p>
    <w:p w:rsidR="00602FED" w:rsidRDefault="00602FED" w:rsidP="003E62D9">
      <w:pPr>
        <w:pStyle w:val="Heading2"/>
        <w:ind w:left="821" w:hanging="821"/>
      </w:pPr>
      <w:r w:rsidRPr="00602FED">
        <w:rPr>
          <w:u w:val="none"/>
        </w:rPr>
        <w:t>6.</w:t>
      </w:r>
      <w:r w:rsidR="003E62D9">
        <w:rPr>
          <w:u w:val="none"/>
        </w:rPr>
        <w:t>1</w:t>
      </w:r>
      <w:r w:rsidRPr="00602FED">
        <w:rPr>
          <w:u w:val="none"/>
        </w:rPr>
        <w:tab/>
      </w:r>
      <w:r w:rsidR="00B1368C">
        <w:t>Entry-Level</w:t>
      </w:r>
      <w:r>
        <w:t xml:space="preserve"> Performance Outcomes:</w:t>
      </w:r>
    </w:p>
    <w:p w:rsidR="003E62D9" w:rsidRDefault="003E62D9" w:rsidP="003E62D9">
      <w:pPr>
        <w:spacing w:after="0" w:line="240" w:lineRule="auto"/>
        <w:ind w:left="821" w:hanging="821"/>
      </w:pPr>
      <w:r>
        <w:t>6.1.1</w:t>
      </w:r>
      <w:r>
        <w:tab/>
        <w:t>Comprehend the Congressional appropriation process, the various appropriation categories, and the rules for using the funds from each appropriation.</w:t>
      </w:r>
    </w:p>
    <w:p w:rsidR="003E62D9" w:rsidRDefault="003E62D9" w:rsidP="003E62D9">
      <w:pPr>
        <w:spacing w:after="0" w:line="240" w:lineRule="auto"/>
        <w:ind w:left="821" w:hanging="821"/>
      </w:pPr>
      <w:r>
        <w:t>6.1.2</w:t>
      </w:r>
      <w:r>
        <w:tab/>
        <w:t>Generalize common uses of cost estimating, cost analysis, financial planning, formulating financial projects and budgets, budget analysis/execution, benefit-cost analysis, EVM, and other methods of performance measurement.</w:t>
      </w:r>
    </w:p>
    <w:p w:rsidR="003E62D9" w:rsidRDefault="003E62D9" w:rsidP="003E62D9">
      <w:pPr>
        <w:spacing w:after="0" w:line="240" w:lineRule="auto"/>
        <w:ind w:left="821" w:hanging="821"/>
      </w:pPr>
      <w:r>
        <w:t>6.1.3</w:t>
      </w:r>
      <w:r>
        <w:tab/>
        <w:t>Recognize cost estimating processes, methods and techniques.</w:t>
      </w:r>
    </w:p>
    <w:p w:rsidR="003E62D9" w:rsidRDefault="003E62D9" w:rsidP="003E62D9">
      <w:pPr>
        <w:spacing w:after="0" w:line="240" w:lineRule="auto"/>
        <w:ind w:left="821" w:hanging="821"/>
      </w:pPr>
      <w:r>
        <w:t>6.1.4</w:t>
      </w:r>
      <w:r>
        <w:tab/>
        <w:t>Define the Integrated Baseline Review (IBR) process or similar process that reviews program cost and schedule performance.</w:t>
      </w:r>
    </w:p>
    <w:p w:rsidR="003E62D9" w:rsidRDefault="003E62D9" w:rsidP="003E62D9">
      <w:pPr>
        <w:spacing w:after="0" w:line="240" w:lineRule="auto"/>
        <w:ind w:left="821" w:hanging="821"/>
      </w:pPr>
      <w:r>
        <w:t>6.1.5</w:t>
      </w:r>
      <w:r>
        <w:tab/>
        <w:t>Recognize the basic concepts of Earned Value Management (EVM), including cost and schedule program status indicators, and how EVM relates to managing program risk.</w:t>
      </w:r>
    </w:p>
    <w:p w:rsidR="003E62D9" w:rsidRDefault="003E62D9" w:rsidP="003E62D9">
      <w:pPr>
        <w:spacing w:after="0" w:line="240" w:lineRule="auto"/>
        <w:ind w:left="821" w:hanging="821"/>
      </w:pPr>
      <w:r>
        <w:t>6.1.6.</w:t>
      </w:r>
      <w:r>
        <w:tab/>
        <w:t>Comprehend how to allocate funds within appropriation categories and how to use the funds from each appropriation.</w:t>
      </w:r>
    </w:p>
    <w:p w:rsidR="003E62D9" w:rsidRDefault="003E62D9" w:rsidP="003E62D9">
      <w:pPr>
        <w:spacing w:after="0" w:line="240" w:lineRule="auto"/>
        <w:ind w:left="821" w:hanging="821"/>
      </w:pPr>
      <w:r>
        <w:t>6.1.7.</w:t>
      </w:r>
      <w:r>
        <w:tab/>
      </w:r>
      <w:r>
        <w:t>Ge</w:t>
      </w:r>
      <w:r>
        <w:t>neralize the agency’s policy and for financial planning, programming, budget development, budget execution and OMB A-11 application.</w:t>
      </w:r>
    </w:p>
    <w:p w:rsidR="003E62D9" w:rsidRDefault="003E62D9" w:rsidP="003E62D9">
      <w:pPr>
        <w:spacing w:after="0" w:line="240" w:lineRule="auto"/>
        <w:ind w:left="821" w:hanging="821"/>
      </w:pPr>
      <w:r>
        <w:t xml:space="preserve">6.1.8 </w:t>
      </w:r>
      <w:r>
        <w:tab/>
      </w:r>
      <w:r>
        <w:t>Recognize common formats and approach to building and analyzing a viable and relevant Business Case containing both quantitative and qualitative decision criteria.</w:t>
      </w:r>
    </w:p>
    <w:p w:rsidR="003E62D9" w:rsidRDefault="003E62D9" w:rsidP="003E62D9">
      <w:pPr>
        <w:spacing w:after="0" w:line="240" w:lineRule="auto"/>
        <w:ind w:left="821" w:hanging="821"/>
      </w:pPr>
      <w:r>
        <w:t>6.1.9.</w:t>
      </w:r>
      <w:r>
        <w:tab/>
        <w:t>Recall the common types of software instruments available for performance measurement of programs.</w:t>
      </w:r>
    </w:p>
    <w:p w:rsidR="003E62D9" w:rsidRDefault="003E62D9" w:rsidP="003E62D9">
      <w:pPr>
        <w:spacing w:after="0" w:line="240" w:lineRule="auto"/>
        <w:ind w:left="821" w:hanging="821"/>
      </w:pPr>
      <w:r>
        <w:t>6.1.10.</w:t>
      </w:r>
      <w:r>
        <w:tab/>
        <w:t>Recognize the statutory requirements for measuring performance of acquisition programs.</w:t>
      </w:r>
    </w:p>
    <w:p w:rsidR="000D7D4A" w:rsidRDefault="003E62D9" w:rsidP="003E62D9">
      <w:pPr>
        <w:spacing w:after="0" w:line="240" w:lineRule="auto"/>
        <w:ind w:left="821" w:hanging="821"/>
      </w:pPr>
      <w:r>
        <w:t>6.1.11.</w:t>
      </w:r>
      <w:r>
        <w:tab/>
        <w:t>Recognize the benefits of using balanced and goal oriented performance measures in managing a program</w:t>
      </w:r>
      <w:r>
        <w:t>.</w:t>
      </w:r>
    </w:p>
    <w:p w:rsidR="00602FED" w:rsidRDefault="00602FED" w:rsidP="00602FED">
      <w:pPr>
        <w:spacing w:after="0" w:line="240" w:lineRule="auto"/>
        <w:ind w:left="821" w:hanging="821"/>
      </w:pPr>
    </w:p>
    <w:p w:rsidR="00602FED" w:rsidRPr="003C7D77" w:rsidRDefault="00602FED" w:rsidP="00602FED">
      <w:pPr>
        <w:pStyle w:val="Heading1"/>
        <w:numPr>
          <w:ilvl w:val="0"/>
          <w:numId w:val="2"/>
        </w:numPr>
        <w:rPr>
          <w:rStyle w:val="Strong"/>
          <w:b/>
        </w:rPr>
      </w:pPr>
      <w:r>
        <w:rPr>
          <w:rStyle w:val="Strong"/>
          <w:b/>
          <w:smallCaps/>
          <w:u w:val="none"/>
        </w:rPr>
        <w:lastRenderedPageBreak/>
        <w:t>Leadership</w:t>
      </w:r>
    </w:p>
    <w:p w:rsidR="00602FED" w:rsidRDefault="00602FED" w:rsidP="00602FED">
      <w:pPr>
        <w:ind w:left="720"/>
      </w:pPr>
      <w:r w:rsidRPr="00602FED">
        <w:rPr>
          <w:spacing w:val="-1"/>
        </w:rPr>
        <w:t>Leadership and professional acumen includes those attributes targeted toward leading and managing a multi-functional project team to satisfactory achievement of program goals, as well as influencing both horizontal and vertical stakeholder relations. Leaders take a long-term view and build a shared vision with others, acting as a catalyst for organizational change. Leaders influence others to translate vision into action and inspire team commitment, spirit, pride, and trust. Leaders develop networks and build alliances while collaborating across boundaries to build strategic relationships and achieve common goals. Leaders foster an inclusive workplace where diversity and individual differences are valued and leveraged to achieve the vision and mission of the organization. Leaders hold themselves and others accountable for measurable high-quality, timely, and cost-effective results.</w:t>
      </w:r>
    </w:p>
    <w:p w:rsidR="00602FED" w:rsidRPr="00B62AAD" w:rsidRDefault="00602FED" w:rsidP="00602FED">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602FED" w:rsidTr="005C2580">
        <w:trPr>
          <w:tblHeader/>
        </w:trPr>
        <w:tc>
          <w:tcPr>
            <w:tcW w:w="9350" w:type="dxa"/>
          </w:tcPr>
          <w:p w:rsidR="00602FED" w:rsidRDefault="00602FED" w:rsidP="005C2580">
            <w:pPr>
              <w:spacing w:before="120"/>
            </w:pPr>
          </w:p>
        </w:tc>
      </w:tr>
      <w:tr w:rsidR="00602FED" w:rsidTr="005C2580">
        <w:tc>
          <w:tcPr>
            <w:tcW w:w="9350" w:type="dxa"/>
          </w:tcPr>
          <w:p w:rsidR="00602FED" w:rsidRDefault="00602FED" w:rsidP="005C2580">
            <w:pPr>
              <w:spacing w:before="120"/>
            </w:pPr>
          </w:p>
        </w:tc>
      </w:tr>
      <w:tr w:rsidR="00602FED" w:rsidTr="005C2580">
        <w:tc>
          <w:tcPr>
            <w:tcW w:w="9350" w:type="dxa"/>
            <w:tcBorders>
              <w:bottom w:val="single" w:sz="4" w:space="0" w:color="auto"/>
            </w:tcBorders>
          </w:tcPr>
          <w:p w:rsidR="00602FED" w:rsidRDefault="00602FED" w:rsidP="005C2580">
            <w:pPr>
              <w:spacing w:before="120"/>
            </w:pPr>
          </w:p>
        </w:tc>
      </w:tr>
      <w:tr w:rsidR="00602FED" w:rsidTr="005C2580">
        <w:tc>
          <w:tcPr>
            <w:tcW w:w="9350" w:type="dxa"/>
            <w:tcBorders>
              <w:top w:val="single" w:sz="4" w:space="0" w:color="auto"/>
              <w:bottom w:val="nil"/>
            </w:tcBorders>
          </w:tcPr>
          <w:p w:rsidR="00602FED" w:rsidRDefault="00602FED" w:rsidP="005C2580">
            <w:pPr>
              <w:spacing w:before="120"/>
            </w:pPr>
          </w:p>
        </w:tc>
      </w:tr>
    </w:tbl>
    <w:p w:rsidR="00602FED" w:rsidRDefault="00602FED" w:rsidP="003E62D9">
      <w:pPr>
        <w:pStyle w:val="Heading2"/>
        <w:ind w:left="821" w:hanging="821"/>
      </w:pPr>
      <w:bookmarkStart w:id="0" w:name="_GoBack"/>
      <w:bookmarkEnd w:id="0"/>
      <w:r w:rsidRPr="00602FED">
        <w:rPr>
          <w:u w:val="none"/>
        </w:rPr>
        <w:t>7.</w:t>
      </w:r>
      <w:r w:rsidR="003E62D9">
        <w:rPr>
          <w:u w:val="none"/>
        </w:rPr>
        <w:t>1</w:t>
      </w:r>
      <w:r w:rsidRPr="00602FED">
        <w:rPr>
          <w:u w:val="none"/>
        </w:rPr>
        <w:tab/>
      </w:r>
      <w:r w:rsidR="00B1368C">
        <w:t>Entry-Level</w:t>
      </w:r>
      <w:r>
        <w:t xml:space="preserve"> Performance Outcomes:</w:t>
      </w:r>
    </w:p>
    <w:p w:rsidR="003E62D9" w:rsidRDefault="003E62D9" w:rsidP="003E62D9">
      <w:pPr>
        <w:spacing w:after="0" w:line="240" w:lineRule="auto"/>
        <w:ind w:left="821" w:hanging="821"/>
      </w:pPr>
      <w:r>
        <w:t>7.1.1.</w:t>
      </w:r>
      <w:r>
        <w:tab/>
        <w:t>Recognize the basic role of the Program Manager; the qualities of leadership and management as they relate to the Program Manager; and the common leadership challenges faced by Program Managers.</w:t>
      </w:r>
    </w:p>
    <w:p w:rsidR="003E62D9" w:rsidRDefault="003E62D9" w:rsidP="003E62D9">
      <w:pPr>
        <w:spacing w:after="0" w:line="240" w:lineRule="auto"/>
        <w:ind w:left="821" w:hanging="821"/>
      </w:pPr>
      <w:r>
        <w:t>7.1.2.</w:t>
      </w:r>
      <w:r>
        <w:tab/>
        <w:t>Recall accepted methods how to lead/manage a project team to satisfactory achievement of project goals.</w:t>
      </w:r>
    </w:p>
    <w:p w:rsidR="003E62D9" w:rsidRDefault="003E62D9" w:rsidP="003E62D9">
      <w:pPr>
        <w:spacing w:after="0" w:line="240" w:lineRule="auto"/>
        <w:ind w:left="821" w:hanging="821"/>
      </w:pPr>
      <w:r>
        <w:t>7.1.3.</w:t>
      </w:r>
      <w:r>
        <w:tab/>
        <w:t>Recall how to identify problems, determining accuracy and relevance of information and using sound judgment when offering solutions.</w:t>
      </w:r>
    </w:p>
    <w:p w:rsidR="003E62D9" w:rsidRDefault="003E62D9" w:rsidP="003E62D9">
      <w:pPr>
        <w:spacing w:after="0" w:line="240" w:lineRule="auto"/>
        <w:ind w:left="821" w:hanging="821"/>
      </w:pPr>
      <w:r>
        <w:t>7.1.4.</w:t>
      </w:r>
      <w:r>
        <w:tab/>
        <w:t>Relate the various techniques to adapt behavior or work methods in response to new information or changing conditions.</w:t>
      </w:r>
    </w:p>
    <w:p w:rsidR="003E62D9" w:rsidRDefault="003E62D9" w:rsidP="003E62D9">
      <w:pPr>
        <w:spacing w:after="0" w:line="240" w:lineRule="auto"/>
        <w:ind w:left="821" w:hanging="821"/>
      </w:pPr>
      <w:r>
        <w:t>7.1.5.</w:t>
      </w:r>
      <w:r>
        <w:tab/>
        <w:t>Describe methods to hold self and others accountable for measurable, high-quality, timely, and cost-effective results.</w:t>
      </w:r>
    </w:p>
    <w:p w:rsidR="003E62D9" w:rsidRDefault="003E62D9" w:rsidP="003E62D9">
      <w:pPr>
        <w:spacing w:after="0" w:line="240" w:lineRule="auto"/>
        <w:ind w:left="821" w:hanging="821"/>
      </w:pPr>
      <w:r>
        <w:t>7.1.6.</w:t>
      </w:r>
      <w:r>
        <w:tab/>
        <w:t>Comprehend the tenets of effectively communicating information in a succinct and organized manner, orally and in writing.</w:t>
      </w:r>
    </w:p>
    <w:p w:rsidR="003E62D9" w:rsidRDefault="003E62D9" w:rsidP="003E62D9">
      <w:pPr>
        <w:spacing w:after="0" w:line="240" w:lineRule="auto"/>
        <w:ind w:left="821" w:hanging="821"/>
      </w:pPr>
      <w:r>
        <w:t>7.1.7.</w:t>
      </w:r>
      <w:r>
        <w:tab/>
        <w:t>Recognize the value of a customer-oriented approach when assessing needs, resolving conflict, and satisfying expectations.</w:t>
      </w:r>
    </w:p>
    <w:p w:rsidR="003E62D9" w:rsidRDefault="003E62D9" w:rsidP="003E62D9">
      <w:pPr>
        <w:spacing w:after="0" w:line="240" w:lineRule="auto"/>
        <w:ind w:left="821" w:hanging="821"/>
      </w:pPr>
      <w:r>
        <w:t>7.1.8.</w:t>
      </w:r>
      <w:r>
        <w:tab/>
        <w:t>Recognize how Continuous Process Improvement (CPI) is used to enhance an organization’s performance and identify key CPI methodologies.</w:t>
      </w:r>
    </w:p>
    <w:p w:rsidR="003E62D9" w:rsidRDefault="003E62D9" w:rsidP="003E62D9">
      <w:pPr>
        <w:spacing w:after="0" w:line="240" w:lineRule="auto"/>
        <w:ind w:left="821" w:hanging="821"/>
      </w:pPr>
      <w:r>
        <w:t>7.1.9.</w:t>
      </w:r>
      <w:r>
        <w:tab/>
        <w:t>Define the principles of ethics and values inherent to the systems acquisition process and identify the core ethical values associated with acquisition decision making.</w:t>
      </w:r>
    </w:p>
    <w:p w:rsidR="003E62D9" w:rsidRDefault="003E62D9" w:rsidP="003E62D9">
      <w:pPr>
        <w:spacing w:after="0" w:line="240" w:lineRule="auto"/>
        <w:ind w:left="821" w:hanging="821"/>
      </w:pPr>
      <w:r>
        <w:t>7.1.10.</w:t>
      </w:r>
      <w:r>
        <w:tab/>
        <w:t>Recognize the roles organizational culture and leadership play in establishing an ethical work environment.</w:t>
      </w:r>
    </w:p>
    <w:p w:rsidR="00602FED" w:rsidRPr="0050185A" w:rsidRDefault="003E62D9" w:rsidP="003E62D9">
      <w:pPr>
        <w:spacing w:after="0" w:line="240" w:lineRule="auto"/>
        <w:ind w:left="821" w:hanging="821"/>
      </w:pPr>
      <w:r>
        <w:t>7.1.11.</w:t>
      </w:r>
      <w:r>
        <w:tab/>
        <w:t>Recognize how interpersonal and organizational conflict impacts the program management office and select relevant conflict management techniques and methods to address that conflict.</w:t>
      </w:r>
    </w:p>
    <w:sectPr w:rsidR="00602FED" w:rsidRPr="0050185A" w:rsidSect="005278E1">
      <w:footerReference w:type="default" r:id="rId7"/>
      <w:pgSz w:w="12240" w:h="15840"/>
      <w:pgMar w:top="108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07" w:rsidRDefault="00E02807" w:rsidP="007E3225">
      <w:pPr>
        <w:spacing w:after="0" w:line="240" w:lineRule="auto"/>
      </w:pPr>
      <w:r>
        <w:separator/>
      </w:r>
    </w:p>
  </w:endnote>
  <w:endnote w:type="continuationSeparator" w:id="0">
    <w:p w:rsidR="00E02807" w:rsidRDefault="00E02807" w:rsidP="007E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439492"/>
      <w:docPartObj>
        <w:docPartGallery w:val="Page Numbers (Bottom of Page)"/>
        <w:docPartUnique/>
      </w:docPartObj>
    </w:sdtPr>
    <w:sdtEndPr>
      <w:rPr>
        <w:noProof/>
      </w:rPr>
    </w:sdtEndPr>
    <w:sdtContent>
      <w:p w:rsidR="007E3225" w:rsidRDefault="007E3225">
        <w:pPr>
          <w:pStyle w:val="Footer"/>
          <w:jc w:val="center"/>
        </w:pPr>
        <w:r>
          <w:fldChar w:fldCharType="begin"/>
        </w:r>
        <w:r>
          <w:instrText xml:space="preserve"> PAGE   \* MERGEFORMAT </w:instrText>
        </w:r>
        <w:r>
          <w:fldChar w:fldCharType="separate"/>
        </w:r>
        <w:r w:rsidR="003E62D9">
          <w:rPr>
            <w:noProof/>
          </w:rPr>
          <w:t>8</w:t>
        </w:r>
        <w:r>
          <w:rPr>
            <w:noProof/>
          </w:rPr>
          <w:fldChar w:fldCharType="end"/>
        </w:r>
      </w:p>
    </w:sdtContent>
  </w:sdt>
  <w:p w:rsidR="007E3225" w:rsidRDefault="007E3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07" w:rsidRDefault="00E02807" w:rsidP="007E3225">
      <w:pPr>
        <w:spacing w:after="0" w:line="240" w:lineRule="auto"/>
      </w:pPr>
      <w:r>
        <w:separator/>
      </w:r>
    </w:p>
  </w:footnote>
  <w:footnote w:type="continuationSeparator" w:id="0">
    <w:p w:rsidR="00E02807" w:rsidRDefault="00E02807" w:rsidP="007E3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start w:val="1"/>
      <w:numFmt w:val="decimal"/>
      <w:lvlText w:val="%1"/>
      <w:lvlJc w:val="left"/>
      <w:pPr>
        <w:ind w:left="111" w:hanging="612"/>
      </w:pPr>
      <w:rPr>
        <w:rFonts w:cs="Times New Roman"/>
      </w:rPr>
    </w:lvl>
    <w:lvl w:ilvl="1">
      <w:start w:val="2"/>
      <w:numFmt w:val="decimal"/>
      <w:lvlText w:val="%1.%2"/>
      <w:lvlJc w:val="left"/>
      <w:pPr>
        <w:ind w:left="111" w:hanging="612"/>
      </w:pPr>
      <w:rPr>
        <w:rFonts w:cs="Times New Roman"/>
      </w:rPr>
    </w:lvl>
    <w:lvl w:ilvl="2">
      <w:start w:val="1"/>
      <w:numFmt w:val="decimal"/>
      <w:lvlText w:val="%1.%2.%3."/>
      <w:lvlJc w:val="left"/>
      <w:pPr>
        <w:ind w:left="111" w:hanging="612"/>
      </w:pPr>
      <w:rPr>
        <w:rFonts w:ascii="Arial" w:hAnsi="Arial" w:cs="Arial"/>
        <w:b w:val="0"/>
        <w:bCs w:val="0"/>
        <w:sz w:val="22"/>
        <w:szCs w:val="22"/>
      </w:rPr>
    </w:lvl>
    <w:lvl w:ilvl="3">
      <w:numFmt w:val="bullet"/>
      <w:lvlText w:val="•"/>
      <w:lvlJc w:val="left"/>
      <w:pPr>
        <w:ind w:left="2838" w:hanging="612"/>
      </w:pPr>
    </w:lvl>
    <w:lvl w:ilvl="4">
      <w:numFmt w:val="bullet"/>
      <w:lvlText w:val="•"/>
      <w:lvlJc w:val="left"/>
      <w:pPr>
        <w:ind w:left="3747" w:hanging="612"/>
      </w:pPr>
    </w:lvl>
    <w:lvl w:ilvl="5">
      <w:numFmt w:val="bullet"/>
      <w:lvlText w:val="•"/>
      <w:lvlJc w:val="left"/>
      <w:pPr>
        <w:ind w:left="4655" w:hanging="612"/>
      </w:pPr>
    </w:lvl>
    <w:lvl w:ilvl="6">
      <w:numFmt w:val="bullet"/>
      <w:lvlText w:val="•"/>
      <w:lvlJc w:val="left"/>
      <w:pPr>
        <w:ind w:left="5564" w:hanging="612"/>
      </w:pPr>
    </w:lvl>
    <w:lvl w:ilvl="7">
      <w:numFmt w:val="bullet"/>
      <w:lvlText w:val="•"/>
      <w:lvlJc w:val="left"/>
      <w:pPr>
        <w:ind w:left="6473" w:hanging="612"/>
      </w:pPr>
    </w:lvl>
    <w:lvl w:ilvl="8">
      <w:numFmt w:val="bullet"/>
      <w:lvlText w:val="•"/>
      <w:lvlJc w:val="left"/>
      <w:pPr>
        <w:ind w:left="7382" w:hanging="612"/>
      </w:pPr>
    </w:lvl>
  </w:abstractNum>
  <w:abstractNum w:abstractNumId="1" w15:restartNumberingAfterBreak="0">
    <w:nsid w:val="0000040E"/>
    <w:multiLevelType w:val="multilevel"/>
    <w:tmpl w:val="00000891"/>
    <w:lvl w:ilvl="0">
      <w:start w:val="4"/>
      <w:numFmt w:val="decimal"/>
      <w:lvlText w:val="%1"/>
      <w:lvlJc w:val="left"/>
      <w:pPr>
        <w:ind w:left="111" w:hanging="614"/>
      </w:pPr>
      <w:rPr>
        <w:rFonts w:cs="Times New Roman"/>
      </w:rPr>
    </w:lvl>
    <w:lvl w:ilvl="1">
      <w:start w:val="2"/>
      <w:numFmt w:val="decimal"/>
      <w:lvlText w:val="%1.%2"/>
      <w:lvlJc w:val="left"/>
      <w:pPr>
        <w:ind w:left="111" w:hanging="614"/>
      </w:pPr>
      <w:rPr>
        <w:rFonts w:cs="Times New Roman"/>
      </w:rPr>
    </w:lvl>
    <w:lvl w:ilvl="2">
      <w:start w:val="1"/>
      <w:numFmt w:val="decimal"/>
      <w:lvlText w:val="%1.%2.%3."/>
      <w:lvlJc w:val="left"/>
      <w:pPr>
        <w:ind w:left="111" w:hanging="614"/>
      </w:pPr>
      <w:rPr>
        <w:rFonts w:ascii="Arial" w:hAnsi="Arial" w:cs="Arial"/>
        <w:b w:val="0"/>
        <w:bCs w:val="0"/>
        <w:sz w:val="22"/>
        <w:szCs w:val="22"/>
      </w:rPr>
    </w:lvl>
    <w:lvl w:ilvl="3">
      <w:numFmt w:val="bullet"/>
      <w:lvlText w:val="•"/>
      <w:lvlJc w:val="left"/>
      <w:pPr>
        <w:ind w:left="2838" w:hanging="614"/>
      </w:pPr>
    </w:lvl>
    <w:lvl w:ilvl="4">
      <w:numFmt w:val="bullet"/>
      <w:lvlText w:val="•"/>
      <w:lvlJc w:val="left"/>
      <w:pPr>
        <w:ind w:left="3747" w:hanging="614"/>
      </w:pPr>
    </w:lvl>
    <w:lvl w:ilvl="5">
      <w:numFmt w:val="bullet"/>
      <w:lvlText w:val="•"/>
      <w:lvlJc w:val="left"/>
      <w:pPr>
        <w:ind w:left="4655" w:hanging="614"/>
      </w:pPr>
    </w:lvl>
    <w:lvl w:ilvl="6">
      <w:numFmt w:val="bullet"/>
      <w:lvlText w:val="•"/>
      <w:lvlJc w:val="left"/>
      <w:pPr>
        <w:ind w:left="5564" w:hanging="614"/>
      </w:pPr>
    </w:lvl>
    <w:lvl w:ilvl="7">
      <w:numFmt w:val="bullet"/>
      <w:lvlText w:val="•"/>
      <w:lvlJc w:val="left"/>
      <w:pPr>
        <w:ind w:left="6473" w:hanging="614"/>
      </w:pPr>
    </w:lvl>
    <w:lvl w:ilvl="8">
      <w:numFmt w:val="bullet"/>
      <w:lvlText w:val="•"/>
      <w:lvlJc w:val="left"/>
      <w:pPr>
        <w:ind w:left="7382" w:hanging="614"/>
      </w:pPr>
    </w:lvl>
  </w:abstractNum>
  <w:abstractNum w:abstractNumId="2" w15:restartNumberingAfterBreak="0">
    <w:nsid w:val="00000416"/>
    <w:multiLevelType w:val="multilevel"/>
    <w:tmpl w:val="00000899"/>
    <w:lvl w:ilvl="0">
      <w:start w:val="6"/>
      <w:numFmt w:val="decimal"/>
      <w:lvlText w:val="%1"/>
      <w:lvlJc w:val="left"/>
      <w:pPr>
        <w:ind w:left="111" w:hanging="614"/>
      </w:pPr>
      <w:rPr>
        <w:rFonts w:cs="Times New Roman"/>
      </w:rPr>
    </w:lvl>
    <w:lvl w:ilvl="1">
      <w:start w:val="2"/>
      <w:numFmt w:val="decimal"/>
      <w:lvlText w:val="%1.%2"/>
      <w:lvlJc w:val="left"/>
      <w:pPr>
        <w:ind w:left="111" w:hanging="614"/>
      </w:pPr>
      <w:rPr>
        <w:rFonts w:cs="Times New Roman"/>
      </w:rPr>
    </w:lvl>
    <w:lvl w:ilvl="2">
      <w:start w:val="2"/>
      <w:numFmt w:val="decimal"/>
      <w:lvlText w:val="%1.%2.%3."/>
      <w:lvlJc w:val="left"/>
      <w:pPr>
        <w:ind w:left="111" w:hanging="614"/>
      </w:pPr>
      <w:rPr>
        <w:rFonts w:ascii="Arial" w:hAnsi="Arial" w:cs="Arial"/>
        <w:b w:val="0"/>
        <w:bCs w:val="0"/>
        <w:sz w:val="22"/>
        <w:szCs w:val="22"/>
      </w:rPr>
    </w:lvl>
    <w:lvl w:ilvl="3">
      <w:numFmt w:val="bullet"/>
      <w:lvlText w:val="•"/>
      <w:lvlJc w:val="left"/>
      <w:pPr>
        <w:ind w:left="2838" w:hanging="614"/>
      </w:pPr>
    </w:lvl>
    <w:lvl w:ilvl="4">
      <w:numFmt w:val="bullet"/>
      <w:lvlText w:val="•"/>
      <w:lvlJc w:val="left"/>
      <w:pPr>
        <w:ind w:left="3747" w:hanging="614"/>
      </w:pPr>
    </w:lvl>
    <w:lvl w:ilvl="5">
      <w:numFmt w:val="bullet"/>
      <w:lvlText w:val="•"/>
      <w:lvlJc w:val="left"/>
      <w:pPr>
        <w:ind w:left="4655" w:hanging="614"/>
      </w:pPr>
    </w:lvl>
    <w:lvl w:ilvl="6">
      <w:numFmt w:val="bullet"/>
      <w:lvlText w:val="•"/>
      <w:lvlJc w:val="left"/>
      <w:pPr>
        <w:ind w:left="5564" w:hanging="614"/>
      </w:pPr>
    </w:lvl>
    <w:lvl w:ilvl="7">
      <w:numFmt w:val="bullet"/>
      <w:lvlText w:val="•"/>
      <w:lvlJc w:val="left"/>
      <w:pPr>
        <w:ind w:left="6473" w:hanging="614"/>
      </w:pPr>
    </w:lvl>
    <w:lvl w:ilvl="8">
      <w:numFmt w:val="bullet"/>
      <w:lvlText w:val="•"/>
      <w:lvlJc w:val="left"/>
      <w:pPr>
        <w:ind w:left="7382" w:hanging="614"/>
      </w:pPr>
    </w:lvl>
  </w:abstractNum>
  <w:abstractNum w:abstractNumId="3" w15:restartNumberingAfterBreak="0">
    <w:nsid w:val="08D872E9"/>
    <w:multiLevelType w:val="hybridMultilevel"/>
    <w:tmpl w:val="35D2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43E64"/>
    <w:multiLevelType w:val="multilevel"/>
    <w:tmpl w:val="81BED406"/>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7884E93"/>
    <w:multiLevelType w:val="hybridMultilevel"/>
    <w:tmpl w:val="2F927D74"/>
    <w:lvl w:ilvl="0" w:tplc="A9024264">
      <w:start w:val="1"/>
      <w:numFmt w:val="decimal"/>
      <w:lvlText w:val="%1.2."/>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15:restartNumberingAfterBreak="0">
    <w:nsid w:val="325815FD"/>
    <w:multiLevelType w:val="multilevel"/>
    <w:tmpl w:val="A13E60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3.2."/>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3F870D2"/>
    <w:multiLevelType w:val="hybridMultilevel"/>
    <w:tmpl w:val="8760E1FC"/>
    <w:lvl w:ilvl="0" w:tplc="652010B6">
      <w:start w:val="1"/>
      <w:numFmt w:val="decimal"/>
      <w:lvlText w:val="2.2.%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8" w15:restartNumberingAfterBreak="0">
    <w:nsid w:val="39662F9A"/>
    <w:multiLevelType w:val="multilevel"/>
    <w:tmpl w:val="EE0E3D1C"/>
    <w:lvl w:ilvl="0">
      <w:start w:val="1"/>
      <w:numFmt w:val="decimal"/>
      <w:lvlText w:val="%1"/>
      <w:lvlJc w:val="left"/>
      <w:pPr>
        <w:ind w:left="480" w:hanging="480"/>
      </w:pPr>
      <w:rPr>
        <w:rFonts w:hint="default"/>
      </w:rPr>
    </w:lvl>
    <w:lvl w:ilvl="1">
      <w:start w:val="1"/>
      <w:numFmt w:val="decimal"/>
      <w:lvlText w:val="%2.1"/>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EF0885"/>
    <w:multiLevelType w:val="multilevel"/>
    <w:tmpl w:val="0EA4EB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75C2228"/>
    <w:multiLevelType w:val="multilevel"/>
    <w:tmpl w:val="0C824992"/>
    <w:lvl w:ilvl="0">
      <w:start w:val="2"/>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F064638"/>
    <w:multiLevelType w:val="multilevel"/>
    <w:tmpl w:val="478A0992"/>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7920" w:hanging="2160"/>
      </w:pPr>
      <w:rPr>
        <w:rFonts w:hint="default"/>
        <w:u w:val="none"/>
      </w:rPr>
    </w:lvl>
  </w:abstractNum>
  <w:abstractNum w:abstractNumId="12" w15:restartNumberingAfterBreak="0">
    <w:nsid w:val="67A206E9"/>
    <w:multiLevelType w:val="multilevel"/>
    <w:tmpl w:val="CDF81EB0"/>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1"/>
  </w:num>
  <w:num w:numId="3">
    <w:abstractNumId w:val="9"/>
  </w:num>
  <w:num w:numId="4">
    <w:abstractNumId w:val="0"/>
  </w:num>
  <w:num w:numId="5">
    <w:abstractNumId w:val="6"/>
  </w:num>
  <w:num w:numId="6">
    <w:abstractNumId w:val="8"/>
  </w:num>
  <w:num w:numId="7">
    <w:abstractNumId w:val="10"/>
  </w:num>
  <w:num w:numId="8">
    <w:abstractNumId w:val="5"/>
  </w:num>
  <w:num w:numId="9">
    <w:abstractNumId w:val="7"/>
  </w:num>
  <w:num w:numId="10">
    <w:abstractNumId w:val="4"/>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28"/>
    <w:rsid w:val="00016229"/>
    <w:rsid w:val="000D7D4A"/>
    <w:rsid w:val="001122F0"/>
    <w:rsid w:val="00293E3E"/>
    <w:rsid w:val="003C7D77"/>
    <w:rsid w:val="003E62D9"/>
    <w:rsid w:val="0050185A"/>
    <w:rsid w:val="005278E1"/>
    <w:rsid w:val="00602FED"/>
    <w:rsid w:val="00674C6D"/>
    <w:rsid w:val="006B046C"/>
    <w:rsid w:val="00795028"/>
    <w:rsid w:val="007E3225"/>
    <w:rsid w:val="00897CBB"/>
    <w:rsid w:val="009D3997"/>
    <w:rsid w:val="00A53D3C"/>
    <w:rsid w:val="00AD0080"/>
    <w:rsid w:val="00AE30E6"/>
    <w:rsid w:val="00B1368C"/>
    <w:rsid w:val="00B62AAD"/>
    <w:rsid w:val="00B807AA"/>
    <w:rsid w:val="00BC6BCF"/>
    <w:rsid w:val="00C95B21"/>
    <w:rsid w:val="00D4350A"/>
    <w:rsid w:val="00D672A8"/>
    <w:rsid w:val="00D9299D"/>
    <w:rsid w:val="00D95254"/>
    <w:rsid w:val="00DD5B3D"/>
    <w:rsid w:val="00E02807"/>
    <w:rsid w:val="00E8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7592-B5F8-4F66-A804-EC40E415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2A8"/>
    <w:rPr>
      <w:rFonts w:ascii="Tahoma" w:hAnsi="Tahoma"/>
      <w:sz w:val="24"/>
    </w:rPr>
  </w:style>
  <w:style w:type="paragraph" w:styleId="Heading1">
    <w:name w:val="heading 1"/>
    <w:basedOn w:val="Normal"/>
    <w:next w:val="Normal"/>
    <w:link w:val="Heading1Char"/>
    <w:uiPriority w:val="9"/>
    <w:qFormat/>
    <w:rsid w:val="00A53D3C"/>
    <w:pPr>
      <w:keepNext/>
      <w:keepLines/>
      <w:spacing w:before="240" w:after="0"/>
      <w:outlineLvl w:val="0"/>
    </w:pPr>
    <w:rPr>
      <w:rFonts w:asciiTheme="majorHAnsi" w:eastAsiaTheme="majorEastAsia" w:hAnsiTheme="majorHAns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7E3225"/>
    <w:pPr>
      <w:keepNext/>
      <w:keepLines/>
      <w:spacing w:before="40" w:after="0"/>
      <w:outlineLvl w:val="1"/>
    </w:pPr>
    <w:rPr>
      <w:rFonts w:asciiTheme="majorHAnsi" w:eastAsiaTheme="majorEastAsia" w:hAnsiTheme="majorHAns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CBB"/>
    <w:pPr>
      <w:spacing w:after="0" w:line="36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897CBB"/>
    <w:rPr>
      <w:rFonts w:asciiTheme="majorHAnsi" w:eastAsiaTheme="majorEastAsia" w:hAnsiTheme="majorHAnsi" w:cstheme="majorBidi"/>
      <w:b/>
      <w:spacing w:val="-10"/>
      <w:kern w:val="28"/>
      <w:sz w:val="40"/>
      <w:szCs w:val="56"/>
    </w:rPr>
  </w:style>
  <w:style w:type="table" w:styleId="TableGrid">
    <w:name w:val="Table Grid"/>
    <w:basedOn w:val="TableNormal"/>
    <w:uiPriority w:val="39"/>
    <w:rsid w:val="0089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7CBB"/>
    <w:rPr>
      <w:color w:val="808080"/>
    </w:rPr>
  </w:style>
  <w:style w:type="character" w:styleId="Strong">
    <w:name w:val="Strong"/>
    <w:basedOn w:val="DefaultParagraphFont"/>
    <w:uiPriority w:val="22"/>
    <w:qFormat/>
    <w:rsid w:val="00D4350A"/>
    <w:rPr>
      <w:b/>
      <w:bCs/>
    </w:rPr>
  </w:style>
  <w:style w:type="character" w:customStyle="1" w:styleId="Heading1Char">
    <w:name w:val="Heading 1 Char"/>
    <w:basedOn w:val="DefaultParagraphFont"/>
    <w:link w:val="Heading1"/>
    <w:uiPriority w:val="9"/>
    <w:rsid w:val="00A53D3C"/>
    <w:rPr>
      <w:rFonts w:asciiTheme="majorHAnsi" w:eastAsiaTheme="majorEastAsia" w:hAnsiTheme="majorHAnsi" w:cstheme="majorBidi"/>
      <w:b/>
      <w:color w:val="000000" w:themeColor="text1"/>
      <w:sz w:val="28"/>
      <w:szCs w:val="32"/>
      <w:u w:val="single"/>
    </w:rPr>
  </w:style>
  <w:style w:type="paragraph" w:styleId="BalloonText">
    <w:name w:val="Balloon Text"/>
    <w:basedOn w:val="Normal"/>
    <w:link w:val="BalloonTextChar"/>
    <w:uiPriority w:val="99"/>
    <w:semiHidden/>
    <w:unhideWhenUsed/>
    <w:rsid w:val="00A53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3C"/>
    <w:rPr>
      <w:rFonts w:ascii="Segoe UI" w:hAnsi="Segoe UI" w:cs="Segoe UI"/>
      <w:sz w:val="18"/>
      <w:szCs w:val="18"/>
    </w:rPr>
  </w:style>
  <w:style w:type="paragraph" w:styleId="ListParagraph">
    <w:name w:val="List Paragraph"/>
    <w:basedOn w:val="Normal"/>
    <w:uiPriority w:val="34"/>
    <w:qFormat/>
    <w:rsid w:val="00A53D3C"/>
    <w:pPr>
      <w:ind w:left="720"/>
      <w:contextualSpacing/>
    </w:pPr>
  </w:style>
  <w:style w:type="paragraph" w:styleId="Header">
    <w:name w:val="header"/>
    <w:basedOn w:val="Normal"/>
    <w:link w:val="HeaderChar"/>
    <w:uiPriority w:val="99"/>
    <w:unhideWhenUsed/>
    <w:rsid w:val="007E3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25"/>
    <w:rPr>
      <w:rFonts w:ascii="Tahoma" w:hAnsi="Tahoma"/>
      <w:sz w:val="24"/>
    </w:rPr>
  </w:style>
  <w:style w:type="paragraph" w:styleId="Footer">
    <w:name w:val="footer"/>
    <w:basedOn w:val="Normal"/>
    <w:link w:val="FooterChar"/>
    <w:uiPriority w:val="99"/>
    <w:unhideWhenUsed/>
    <w:rsid w:val="007E3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25"/>
    <w:rPr>
      <w:rFonts w:ascii="Tahoma" w:hAnsi="Tahoma"/>
      <w:sz w:val="24"/>
    </w:rPr>
  </w:style>
  <w:style w:type="character" w:customStyle="1" w:styleId="Heading2Char">
    <w:name w:val="Heading 2 Char"/>
    <w:basedOn w:val="DefaultParagraphFont"/>
    <w:link w:val="Heading2"/>
    <w:uiPriority w:val="9"/>
    <w:rsid w:val="007E3225"/>
    <w:rPr>
      <w:rFonts w:asciiTheme="majorHAnsi" w:eastAsiaTheme="majorEastAsia" w:hAnsiTheme="majorHAnsi" w:cstheme="majorBidi"/>
      <w:b/>
      <w:sz w:val="26"/>
      <w:szCs w:val="26"/>
      <w:u w:val="single"/>
    </w:rPr>
  </w:style>
  <w:style w:type="paragraph" w:styleId="BodyText">
    <w:name w:val="Body Text"/>
    <w:basedOn w:val="Normal"/>
    <w:link w:val="BodyTextChar"/>
    <w:uiPriority w:val="1"/>
    <w:qFormat/>
    <w:rsid w:val="00AE30E6"/>
    <w:pPr>
      <w:widowControl w:val="0"/>
      <w:autoSpaceDE w:val="0"/>
      <w:autoSpaceDN w:val="0"/>
      <w:adjustRightInd w:val="0"/>
      <w:spacing w:after="0" w:line="240" w:lineRule="auto"/>
      <w:ind w:left="111"/>
    </w:pPr>
    <w:rPr>
      <w:rFonts w:ascii="Arial" w:eastAsiaTheme="minorEastAsia" w:hAnsi="Arial" w:cs="Arial"/>
      <w:sz w:val="22"/>
    </w:rPr>
  </w:style>
  <w:style w:type="character" w:customStyle="1" w:styleId="BodyTextChar">
    <w:name w:val="Body Text Char"/>
    <w:basedOn w:val="DefaultParagraphFont"/>
    <w:link w:val="BodyText"/>
    <w:uiPriority w:val="99"/>
    <w:rsid w:val="00AE30E6"/>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4DA5630-11FD-4217-97E4-E7D3676EAF2F}"/>
      </w:docPartPr>
      <w:docPartBody>
        <w:p w:rsidR="0052240A" w:rsidRDefault="009D1F69">
          <w:r w:rsidRPr="00CC42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69"/>
    <w:rsid w:val="002E3300"/>
    <w:rsid w:val="0052240A"/>
    <w:rsid w:val="007141E9"/>
    <w:rsid w:val="009D1F69"/>
    <w:rsid w:val="00B7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F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FAC-P/PM Functional Experience Transcript for Level II</vt:lpstr>
    </vt:vector>
  </TitlesOfParts>
  <Company/>
  <LinksUpToDate>false</LinksUpToDate>
  <CharactersWithSpaces>15009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FAC-P/PM Functional Experience Transcript for Level I</dc:title>
  <dc:subject>FAC-P/PM Application</dc:subject>
  <dc:creator>NIH\OD\OALM\DDO\ACP</dc:creator>
  <cp:keywords>FAC-P/PM; Level 1</cp:keywords>
  <dc:description/>
  <cp:lastModifiedBy>Dansby, Cardenia (NIH/OD) [E]</cp:lastModifiedBy>
  <cp:revision>6</cp:revision>
  <cp:lastPrinted>2015-07-22T14:44:00Z</cp:lastPrinted>
  <dcterms:created xsi:type="dcterms:W3CDTF">2015-07-23T15:10:00Z</dcterms:created>
  <dcterms:modified xsi:type="dcterms:W3CDTF">2015-07-23T15:38:00Z</dcterms:modified>
</cp:coreProperties>
</file>